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E16" w:rsidRPr="00DD42DD" w:rsidRDefault="00BA1602" w:rsidP="009267C0">
      <w:pPr>
        <w:pStyle w:val="Tekstpodstawowy"/>
        <w:rPr>
          <w:rStyle w:val="Ppogrubienie"/>
        </w:rPr>
      </w:pPr>
      <w:r w:rsidRPr="00D9302E">
        <w:rPr>
          <w:b/>
        </w:rPr>
        <w:t>Tabel</w:t>
      </w:r>
      <w:r w:rsidR="00950BC5">
        <w:rPr>
          <w:b/>
        </w:rPr>
        <w:t>a</w:t>
      </w:r>
      <w:r w:rsidRPr="00D9302E">
        <w:rPr>
          <w:b/>
        </w:rPr>
        <w:t xml:space="preserve"> uwag zgłoszonych do projektu</w:t>
      </w:r>
      <w:r w:rsidR="0023003B" w:rsidRPr="00D9302E">
        <w:rPr>
          <w:b/>
        </w:rPr>
        <w:t xml:space="preserve"> </w:t>
      </w:r>
      <w:bookmarkStart w:id="0" w:name="_GoBack"/>
      <w:r w:rsidR="00EB389A" w:rsidRPr="00CD4BFD">
        <w:rPr>
          <w:b/>
          <w:i/>
        </w:rPr>
        <w:t xml:space="preserve">rozporządzenia </w:t>
      </w:r>
      <w:r w:rsidR="00B51CC8" w:rsidRPr="00CD4BFD">
        <w:rPr>
          <w:b/>
          <w:i/>
        </w:rPr>
        <w:t>Ministra Sprawiedliwości w</w:t>
      </w:r>
      <w:r w:rsidR="00EB389A" w:rsidRPr="00CD4BFD">
        <w:rPr>
          <w:b/>
          <w:i/>
        </w:rPr>
        <w:t xml:space="preserve"> sprawie wyznaczenia koordynatorów delegowanych w dziale sprawiedliwość oraz zakresu zadań przekazanych do realizacji koordynatorom delegowanym </w:t>
      </w:r>
      <w:r w:rsidR="004D741B" w:rsidRPr="00CD4BFD">
        <w:rPr>
          <w:b/>
          <w:i/>
        </w:rPr>
        <w:t xml:space="preserve">- </w:t>
      </w:r>
      <w:r w:rsidRPr="00CD4BFD">
        <w:rPr>
          <w:b/>
          <w:i/>
        </w:rPr>
        <w:t xml:space="preserve">w ramach </w:t>
      </w:r>
      <w:r w:rsidR="004243B0" w:rsidRPr="00CD4BFD">
        <w:rPr>
          <w:b/>
          <w:i/>
        </w:rPr>
        <w:t>konsultacji publicznych</w:t>
      </w:r>
      <w:bookmarkEnd w:id="0"/>
      <w:r w:rsidR="009267C0">
        <w:rPr>
          <w:b/>
        </w:rPr>
        <w:t>.</w:t>
      </w:r>
    </w:p>
    <w:p w:rsidR="006D5B97" w:rsidRPr="0082330E" w:rsidRDefault="006D5B97" w:rsidP="00110E16">
      <w:pPr>
        <w:jc w:val="center"/>
        <w:rPr>
          <w:b/>
          <w:sz w:val="2"/>
          <w:szCs w:val="20"/>
        </w:rPr>
      </w:pPr>
    </w:p>
    <w:tbl>
      <w:tblPr>
        <w:tblStyle w:val="Tabela-Siatka"/>
        <w:tblW w:w="4973" w:type="pct"/>
        <w:tblLayout w:type="fixed"/>
        <w:tblLook w:val="04A0" w:firstRow="1" w:lastRow="0" w:firstColumn="1" w:lastColumn="0" w:noHBand="0" w:noVBand="1"/>
      </w:tblPr>
      <w:tblGrid>
        <w:gridCol w:w="515"/>
        <w:gridCol w:w="1720"/>
        <w:gridCol w:w="851"/>
        <w:gridCol w:w="4110"/>
        <w:gridCol w:w="6947"/>
      </w:tblGrid>
      <w:tr w:rsidR="002A4C6B" w:rsidRPr="006A58E0" w:rsidTr="00482C75">
        <w:tc>
          <w:tcPr>
            <w:tcW w:w="182" w:type="pct"/>
          </w:tcPr>
          <w:p w:rsidR="002A4C6B" w:rsidRPr="006A58E0" w:rsidRDefault="002A4C6B" w:rsidP="00EE76A6">
            <w:pPr>
              <w:rPr>
                <w:b/>
                <w:sz w:val="20"/>
                <w:szCs w:val="20"/>
              </w:rPr>
            </w:pPr>
            <w:r w:rsidRPr="006A58E0">
              <w:rPr>
                <w:b/>
                <w:sz w:val="20"/>
                <w:szCs w:val="20"/>
              </w:rPr>
              <w:t>L.p.</w:t>
            </w:r>
          </w:p>
        </w:tc>
        <w:tc>
          <w:tcPr>
            <w:tcW w:w="608" w:type="pct"/>
          </w:tcPr>
          <w:p w:rsidR="002A4C6B" w:rsidRPr="006A58E0" w:rsidRDefault="002A4C6B" w:rsidP="00EE76A6">
            <w:pPr>
              <w:rPr>
                <w:b/>
                <w:sz w:val="20"/>
                <w:szCs w:val="20"/>
              </w:rPr>
            </w:pPr>
            <w:r w:rsidRPr="006A58E0">
              <w:rPr>
                <w:b/>
                <w:sz w:val="20"/>
                <w:szCs w:val="20"/>
              </w:rPr>
              <w:t xml:space="preserve">Nazwa jednostki zgłaszającej uwagę </w:t>
            </w:r>
          </w:p>
        </w:tc>
        <w:tc>
          <w:tcPr>
            <w:tcW w:w="301" w:type="pct"/>
          </w:tcPr>
          <w:p w:rsidR="002A4C6B" w:rsidRPr="006A58E0" w:rsidRDefault="002A4C6B" w:rsidP="002A4C6B">
            <w:pPr>
              <w:rPr>
                <w:b/>
                <w:sz w:val="20"/>
                <w:szCs w:val="20"/>
              </w:rPr>
            </w:pPr>
            <w:r>
              <w:rPr>
                <w:b/>
                <w:sz w:val="20"/>
                <w:szCs w:val="20"/>
              </w:rPr>
              <w:t>Numer uwagi</w:t>
            </w:r>
          </w:p>
        </w:tc>
        <w:tc>
          <w:tcPr>
            <w:tcW w:w="1453" w:type="pct"/>
          </w:tcPr>
          <w:p w:rsidR="002A4C6B" w:rsidRPr="006A58E0" w:rsidRDefault="002A4C6B" w:rsidP="00EE76A6">
            <w:pPr>
              <w:rPr>
                <w:b/>
                <w:sz w:val="20"/>
                <w:szCs w:val="20"/>
              </w:rPr>
            </w:pPr>
            <w:r w:rsidRPr="006A58E0">
              <w:rPr>
                <w:b/>
                <w:sz w:val="20"/>
                <w:szCs w:val="20"/>
              </w:rPr>
              <w:t xml:space="preserve">Treść uwagi </w:t>
            </w:r>
          </w:p>
        </w:tc>
        <w:tc>
          <w:tcPr>
            <w:tcW w:w="2456" w:type="pct"/>
          </w:tcPr>
          <w:p w:rsidR="002A4C6B" w:rsidRPr="006A58E0" w:rsidRDefault="002A4C6B" w:rsidP="004243B0">
            <w:pPr>
              <w:rPr>
                <w:b/>
                <w:sz w:val="20"/>
                <w:szCs w:val="20"/>
              </w:rPr>
            </w:pPr>
            <w:r w:rsidRPr="006A58E0">
              <w:rPr>
                <w:b/>
                <w:sz w:val="20"/>
                <w:szCs w:val="20"/>
              </w:rPr>
              <w:t xml:space="preserve">Stanowisko </w:t>
            </w:r>
            <w:r w:rsidR="004243B0">
              <w:rPr>
                <w:b/>
                <w:sz w:val="20"/>
                <w:szCs w:val="20"/>
              </w:rPr>
              <w:t>MS</w:t>
            </w:r>
          </w:p>
        </w:tc>
      </w:tr>
      <w:tr w:rsidR="006D0A72" w:rsidRPr="006A58E0" w:rsidTr="00482C75">
        <w:trPr>
          <w:trHeight w:val="102"/>
        </w:trPr>
        <w:tc>
          <w:tcPr>
            <w:tcW w:w="182" w:type="pct"/>
            <w:vMerge w:val="restart"/>
          </w:tcPr>
          <w:p w:rsidR="002A4C6B" w:rsidRPr="006A58E0" w:rsidRDefault="002A4C6B" w:rsidP="00D85E98">
            <w:pPr>
              <w:rPr>
                <w:sz w:val="20"/>
                <w:szCs w:val="20"/>
              </w:rPr>
            </w:pPr>
            <w:r>
              <w:rPr>
                <w:sz w:val="20"/>
                <w:szCs w:val="20"/>
              </w:rPr>
              <w:t>1.</w:t>
            </w:r>
          </w:p>
        </w:tc>
        <w:tc>
          <w:tcPr>
            <w:tcW w:w="608" w:type="pct"/>
            <w:vMerge w:val="restart"/>
          </w:tcPr>
          <w:p w:rsidR="00D622E4" w:rsidRDefault="002A4C6B" w:rsidP="00912ADC">
            <w:pPr>
              <w:jc w:val="both"/>
              <w:rPr>
                <w:b/>
                <w:sz w:val="20"/>
                <w:szCs w:val="20"/>
              </w:rPr>
            </w:pPr>
            <w:r w:rsidRPr="00110E16">
              <w:rPr>
                <w:b/>
                <w:sz w:val="20"/>
                <w:szCs w:val="20"/>
              </w:rPr>
              <w:t xml:space="preserve">Krajowa Rada Notarialna i </w:t>
            </w:r>
            <w:r>
              <w:rPr>
                <w:b/>
                <w:sz w:val="20"/>
                <w:szCs w:val="20"/>
              </w:rPr>
              <w:t xml:space="preserve">prezesi rad izb notarialnych </w:t>
            </w:r>
            <w:r w:rsidR="00912ADC">
              <w:rPr>
                <w:b/>
                <w:sz w:val="20"/>
                <w:szCs w:val="20"/>
              </w:rPr>
              <w:t>podzielający stanowisko</w:t>
            </w:r>
            <w:r>
              <w:rPr>
                <w:b/>
                <w:sz w:val="20"/>
                <w:szCs w:val="20"/>
              </w:rPr>
              <w:t xml:space="preserve"> KRN</w:t>
            </w:r>
            <w:r w:rsidR="00D622E4">
              <w:rPr>
                <w:b/>
                <w:sz w:val="20"/>
                <w:szCs w:val="20"/>
              </w:rPr>
              <w:t xml:space="preserve"> bez zgłoszenia dodatkowych uwag</w:t>
            </w:r>
            <w:r>
              <w:rPr>
                <w:b/>
                <w:sz w:val="20"/>
                <w:szCs w:val="20"/>
              </w:rPr>
              <w:t xml:space="preserve"> </w:t>
            </w:r>
          </w:p>
          <w:p w:rsidR="00D622E4" w:rsidRDefault="002A4C6B" w:rsidP="00912ADC">
            <w:pPr>
              <w:jc w:val="both"/>
              <w:rPr>
                <w:b/>
                <w:sz w:val="20"/>
                <w:szCs w:val="20"/>
              </w:rPr>
            </w:pPr>
            <w:r>
              <w:rPr>
                <w:b/>
                <w:sz w:val="20"/>
                <w:szCs w:val="20"/>
              </w:rPr>
              <w:t>(i</w:t>
            </w:r>
            <w:r w:rsidRPr="00110E16">
              <w:rPr>
                <w:b/>
                <w:sz w:val="20"/>
                <w:szCs w:val="20"/>
              </w:rPr>
              <w:t xml:space="preserve">zby: </w:t>
            </w:r>
          </w:p>
          <w:p w:rsidR="00D047A7" w:rsidRDefault="00D047A7" w:rsidP="00D622E4">
            <w:pPr>
              <w:pStyle w:val="Akapitzlist"/>
              <w:numPr>
                <w:ilvl w:val="0"/>
                <w:numId w:val="6"/>
              </w:numPr>
              <w:ind w:left="52" w:hanging="141"/>
              <w:jc w:val="both"/>
              <w:rPr>
                <w:b/>
                <w:sz w:val="20"/>
                <w:szCs w:val="20"/>
              </w:rPr>
            </w:pPr>
            <w:r>
              <w:rPr>
                <w:b/>
                <w:sz w:val="20"/>
                <w:szCs w:val="20"/>
              </w:rPr>
              <w:t>białostocka,</w:t>
            </w:r>
          </w:p>
          <w:p w:rsidR="00D047A7" w:rsidRDefault="00D047A7" w:rsidP="00D622E4">
            <w:pPr>
              <w:pStyle w:val="Akapitzlist"/>
              <w:numPr>
                <w:ilvl w:val="0"/>
                <w:numId w:val="6"/>
              </w:numPr>
              <w:ind w:left="52" w:hanging="141"/>
              <w:jc w:val="both"/>
              <w:rPr>
                <w:b/>
                <w:sz w:val="20"/>
                <w:szCs w:val="20"/>
              </w:rPr>
            </w:pPr>
            <w:r>
              <w:rPr>
                <w:b/>
                <w:sz w:val="20"/>
                <w:szCs w:val="20"/>
              </w:rPr>
              <w:t>gdańska,</w:t>
            </w:r>
          </w:p>
          <w:p w:rsidR="00D622E4" w:rsidRPr="00D622E4" w:rsidRDefault="00D622E4" w:rsidP="00D622E4">
            <w:pPr>
              <w:pStyle w:val="Akapitzlist"/>
              <w:numPr>
                <w:ilvl w:val="0"/>
                <w:numId w:val="6"/>
              </w:numPr>
              <w:ind w:left="52" w:hanging="141"/>
              <w:jc w:val="both"/>
              <w:rPr>
                <w:b/>
                <w:sz w:val="20"/>
                <w:szCs w:val="20"/>
              </w:rPr>
            </w:pPr>
            <w:r w:rsidRPr="00D622E4">
              <w:rPr>
                <w:b/>
                <w:sz w:val="20"/>
                <w:szCs w:val="20"/>
              </w:rPr>
              <w:t>lubelska,</w:t>
            </w:r>
          </w:p>
          <w:p w:rsidR="00D047A7" w:rsidRDefault="00D047A7" w:rsidP="00D622E4">
            <w:pPr>
              <w:pStyle w:val="Akapitzlist"/>
              <w:numPr>
                <w:ilvl w:val="0"/>
                <w:numId w:val="6"/>
              </w:numPr>
              <w:ind w:left="52" w:hanging="141"/>
              <w:jc w:val="both"/>
              <w:rPr>
                <w:b/>
                <w:sz w:val="20"/>
                <w:szCs w:val="20"/>
              </w:rPr>
            </w:pPr>
            <w:r>
              <w:rPr>
                <w:b/>
                <w:sz w:val="20"/>
                <w:szCs w:val="20"/>
              </w:rPr>
              <w:t>łódzka,</w:t>
            </w:r>
          </w:p>
          <w:p w:rsidR="00D047A7" w:rsidRDefault="00D047A7" w:rsidP="00D622E4">
            <w:pPr>
              <w:pStyle w:val="Akapitzlist"/>
              <w:numPr>
                <w:ilvl w:val="0"/>
                <w:numId w:val="6"/>
              </w:numPr>
              <w:ind w:left="52" w:hanging="141"/>
              <w:jc w:val="both"/>
              <w:rPr>
                <w:b/>
                <w:sz w:val="20"/>
                <w:szCs w:val="20"/>
              </w:rPr>
            </w:pPr>
            <w:r>
              <w:rPr>
                <w:b/>
                <w:sz w:val="20"/>
                <w:szCs w:val="20"/>
              </w:rPr>
              <w:t>rzeszowska,</w:t>
            </w:r>
          </w:p>
          <w:p w:rsidR="00D047A7" w:rsidRDefault="00D047A7" w:rsidP="00D622E4">
            <w:pPr>
              <w:pStyle w:val="Akapitzlist"/>
              <w:numPr>
                <w:ilvl w:val="0"/>
                <w:numId w:val="6"/>
              </w:numPr>
              <w:ind w:left="52" w:hanging="141"/>
              <w:jc w:val="both"/>
              <w:rPr>
                <w:b/>
                <w:sz w:val="20"/>
                <w:szCs w:val="20"/>
              </w:rPr>
            </w:pPr>
            <w:r>
              <w:rPr>
                <w:b/>
                <w:sz w:val="20"/>
                <w:szCs w:val="20"/>
              </w:rPr>
              <w:t>szczecińska,</w:t>
            </w:r>
          </w:p>
          <w:p w:rsidR="00D047A7" w:rsidRDefault="00D047A7" w:rsidP="00D622E4">
            <w:pPr>
              <w:pStyle w:val="Akapitzlist"/>
              <w:numPr>
                <w:ilvl w:val="0"/>
                <w:numId w:val="6"/>
              </w:numPr>
              <w:ind w:left="52" w:hanging="141"/>
              <w:jc w:val="both"/>
              <w:rPr>
                <w:b/>
                <w:sz w:val="20"/>
                <w:szCs w:val="20"/>
              </w:rPr>
            </w:pPr>
            <w:r>
              <w:rPr>
                <w:b/>
                <w:sz w:val="20"/>
                <w:szCs w:val="20"/>
              </w:rPr>
              <w:t>warszawska,</w:t>
            </w:r>
          </w:p>
          <w:p w:rsidR="002A4C6B" w:rsidRPr="00D622E4" w:rsidRDefault="002A4C6B" w:rsidP="00D622E4">
            <w:pPr>
              <w:pStyle w:val="Akapitzlist"/>
              <w:numPr>
                <w:ilvl w:val="0"/>
                <w:numId w:val="6"/>
              </w:numPr>
              <w:ind w:left="52" w:hanging="141"/>
              <w:jc w:val="both"/>
              <w:rPr>
                <w:b/>
                <w:sz w:val="20"/>
                <w:szCs w:val="20"/>
              </w:rPr>
            </w:pPr>
            <w:r w:rsidRPr="00D622E4">
              <w:rPr>
                <w:b/>
                <w:sz w:val="20"/>
                <w:szCs w:val="20"/>
              </w:rPr>
              <w:t>wrocławska).</w:t>
            </w:r>
          </w:p>
        </w:tc>
        <w:tc>
          <w:tcPr>
            <w:tcW w:w="301" w:type="pct"/>
          </w:tcPr>
          <w:p w:rsidR="002A4C6B" w:rsidRPr="000E721E" w:rsidRDefault="002A4C6B" w:rsidP="00D85E98">
            <w:pPr>
              <w:spacing w:line="276" w:lineRule="auto"/>
              <w:jc w:val="both"/>
              <w:rPr>
                <w:sz w:val="20"/>
                <w:szCs w:val="20"/>
              </w:rPr>
            </w:pPr>
            <w:r>
              <w:rPr>
                <w:sz w:val="20"/>
                <w:szCs w:val="20"/>
              </w:rPr>
              <w:t>1a</w:t>
            </w:r>
          </w:p>
        </w:tc>
        <w:tc>
          <w:tcPr>
            <w:tcW w:w="1453" w:type="pct"/>
          </w:tcPr>
          <w:p w:rsidR="00460C44" w:rsidRPr="006A58E0" w:rsidRDefault="002A4C6B" w:rsidP="00912ADC">
            <w:pPr>
              <w:spacing w:line="276" w:lineRule="auto"/>
              <w:jc w:val="both"/>
              <w:rPr>
                <w:sz w:val="20"/>
                <w:szCs w:val="20"/>
              </w:rPr>
            </w:pPr>
            <w:r w:rsidRPr="000E721E">
              <w:rPr>
                <w:sz w:val="20"/>
                <w:szCs w:val="20"/>
              </w:rPr>
              <w:t>Rozporządzenie 2016/1191 stosuje się do niewielkiej ilości dokumentów urzędowych sporządzanych</w:t>
            </w:r>
            <w:r w:rsidR="00612840">
              <w:rPr>
                <w:sz w:val="20"/>
                <w:szCs w:val="20"/>
              </w:rPr>
              <w:t xml:space="preserve"> przez notariuszy, co sprawia, ż</w:t>
            </w:r>
            <w:r w:rsidRPr="000E721E">
              <w:rPr>
                <w:sz w:val="20"/>
                <w:szCs w:val="20"/>
              </w:rPr>
              <w:t>e liczba dokumentów notarialnych wchodzących w zak</w:t>
            </w:r>
            <w:r w:rsidR="00460C44">
              <w:rPr>
                <w:sz w:val="20"/>
                <w:szCs w:val="20"/>
              </w:rPr>
              <w:t>res działania rozporządzenia</w:t>
            </w:r>
            <w:r w:rsidRPr="000E721E">
              <w:rPr>
                <w:sz w:val="20"/>
                <w:szCs w:val="20"/>
              </w:rPr>
              <w:t>, do których potencjalnie znajdzie zastosowanie rozporządzenie 2016/1191 jes</w:t>
            </w:r>
            <w:r>
              <w:rPr>
                <w:sz w:val="20"/>
                <w:szCs w:val="20"/>
              </w:rPr>
              <w:t>t</w:t>
            </w:r>
            <w:r w:rsidRPr="000E721E">
              <w:rPr>
                <w:sz w:val="20"/>
                <w:szCs w:val="20"/>
              </w:rPr>
              <w:t xml:space="preserve"> znikoma.</w:t>
            </w:r>
            <w:r w:rsidR="00460C44">
              <w:rPr>
                <w:sz w:val="20"/>
                <w:szCs w:val="20"/>
              </w:rPr>
              <w:t xml:space="preserve"> </w:t>
            </w:r>
            <w:r w:rsidR="00460C44">
              <w:rPr>
                <w:sz w:val="20"/>
                <w:szCs w:val="20"/>
              </w:rPr>
              <w:br/>
              <w:t>(</w:t>
            </w:r>
            <w:r w:rsidR="00460C44" w:rsidRPr="00460C44">
              <w:rPr>
                <w:i/>
                <w:sz w:val="20"/>
                <w:szCs w:val="20"/>
              </w:rPr>
              <w:t>Uwaga ta</w:t>
            </w:r>
            <w:r w:rsidR="005B0C7F">
              <w:rPr>
                <w:i/>
                <w:sz w:val="20"/>
                <w:szCs w:val="20"/>
              </w:rPr>
              <w:t xml:space="preserve">, tak i poniższe, </w:t>
            </w:r>
            <w:r w:rsidR="00460C44" w:rsidRPr="00460C44">
              <w:rPr>
                <w:i/>
                <w:sz w:val="20"/>
                <w:szCs w:val="20"/>
              </w:rPr>
              <w:t xml:space="preserve">ma wskazywać brak celowości wyznaczania koordynatorów delegowanych </w:t>
            </w:r>
            <w:r w:rsidR="00912ADC">
              <w:rPr>
                <w:i/>
                <w:sz w:val="20"/>
                <w:szCs w:val="20"/>
              </w:rPr>
              <w:t xml:space="preserve">spośród </w:t>
            </w:r>
            <w:r w:rsidR="00460C44" w:rsidRPr="00460C44">
              <w:rPr>
                <w:i/>
                <w:sz w:val="20"/>
                <w:szCs w:val="20"/>
              </w:rPr>
              <w:t>członków samorządu notarialnego</w:t>
            </w:r>
            <w:r w:rsidR="00460C44">
              <w:rPr>
                <w:sz w:val="20"/>
                <w:szCs w:val="20"/>
              </w:rPr>
              <w:t xml:space="preserve">) </w:t>
            </w:r>
          </w:p>
        </w:tc>
        <w:tc>
          <w:tcPr>
            <w:tcW w:w="2456" w:type="pct"/>
          </w:tcPr>
          <w:p w:rsidR="002A4C6B" w:rsidRPr="005B0C7F" w:rsidRDefault="002A4C6B" w:rsidP="005B0C7F">
            <w:pPr>
              <w:jc w:val="both"/>
              <w:rPr>
                <w:sz w:val="20"/>
                <w:szCs w:val="20"/>
              </w:rPr>
            </w:pPr>
            <w:r>
              <w:rPr>
                <w:b/>
                <w:sz w:val="20"/>
                <w:szCs w:val="20"/>
              </w:rPr>
              <w:t xml:space="preserve">Uwaga nieuwzględniona -  </w:t>
            </w:r>
            <w:r w:rsidRPr="000E721E">
              <w:rPr>
                <w:sz w:val="20"/>
                <w:szCs w:val="20"/>
              </w:rPr>
              <w:t xml:space="preserve">Notariusze sporządzają  m.in. poświadczenie zgodności odpisu, wyciągu lub kopii z okazanym dokumentem (art. 96 pkt 2 </w:t>
            </w:r>
            <w:r w:rsidR="00912ADC">
              <w:rPr>
                <w:i/>
                <w:sz w:val="20"/>
                <w:szCs w:val="20"/>
              </w:rPr>
              <w:t>ustawy Prawo o </w:t>
            </w:r>
            <w:r w:rsidR="006D12E0" w:rsidRPr="006D12E0">
              <w:rPr>
                <w:i/>
                <w:sz w:val="20"/>
                <w:szCs w:val="20"/>
              </w:rPr>
              <w:t>notariacie</w:t>
            </w:r>
            <w:r w:rsidR="006D12E0">
              <w:rPr>
                <w:sz w:val="20"/>
                <w:szCs w:val="20"/>
              </w:rPr>
              <w:t xml:space="preserve">, </w:t>
            </w:r>
            <w:r w:rsidR="006D12E0" w:rsidRPr="006D12E0">
              <w:rPr>
                <w:sz w:val="20"/>
                <w:szCs w:val="20"/>
              </w:rPr>
              <w:t>dalej jako: „</w:t>
            </w:r>
            <w:proofErr w:type="spellStart"/>
            <w:r w:rsidR="006D12E0" w:rsidRPr="006D12E0">
              <w:rPr>
                <w:sz w:val="20"/>
                <w:szCs w:val="20"/>
              </w:rPr>
              <w:t>u.p.n</w:t>
            </w:r>
            <w:proofErr w:type="spellEnd"/>
            <w:r w:rsidR="006D12E0" w:rsidRPr="006D12E0">
              <w:rPr>
                <w:sz w:val="20"/>
                <w:szCs w:val="20"/>
              </w:rPr>
              <w:t>.”)</w:t>
            </w:r>
            <w:r w:rsidRPr="000E721E">
              <w:rPr>
                <w:sz w:val="20"/>
                <w:szCs w:val="20"/>
              </w:rPr>
              <w:t>. Takie poświadczenia mogą dotyczyć dokumentów urzędowych wydanych w Państwie Członkowskim UE</w:t>
            </w:r>
            <w:r w:rsidR="007D4C2F">
              <w:rPr>
                <w:sz w:val="20"/>
                <w:szCs w:val="20"/>
              </w:rPr>
              <w:t xml:space="preserve">, objętych zakresem zastosowania rozporządzenia 2016/1191. </w:t>
            </w:r>
            <w:r w:rsidR="005B0C7F">
              <w:rPr>
                <w:sz w:val="20"/>
                <w:szCs w:val="20"/>
              </w:rPr>
              <w:t>Także</w:t>
            </w:r>
            <w:r w:rsidR="007D4C2F">
              <w:rPr>
                <w:sz w:val="20"/>
                <w:szCs w:val="20"/>
              </w:rPr>
              <w:t xml:space="preserve"> względem tychże poświadczonych kopii </w:t>
            </w:r>
            <w:r w:rsidR="005B0C7F">
              <w:rPr>
                <w:sz w:val="20"/>
                <w:szCs w:val="20"/>
              </w:rPr>
              <w:t xml:space="preserve">zniesiony jest  wymóg </w:t>
            </w:r>
            <w:r w:rsidR="00912ADC">
              <w:rPr>
                <w:sz w:val="20"/>
                <w:szCs w:val="20"/>
              </w:rPr>
              <w:t xml:space="preserve"> wszelkich form legalizacji i </w:t>
            </w:r>
            <w:r w:rsidR="005B0C7F" w:rsidRPr="005B0C7F">
              <w:rPr>
                <w:sz w:val="20"/>
                <w:szCs w:val="20"/>
              </w:rPr>
              <w:t>podobn</w:t>
            </w:r>
            <w:r w:rsidR="005B0C7F">
              <w:rPr>
                <w:sz w:val="20"/>
                <w:szCs w:val="20"/>
              </w:rPr>
              <w:t>ych</w:t>
            </w:r>
            <w:r w:rsidR="005B0C7F" w:rsidRPr="005B0C7F">
              <w:rPr>
                <w:sz w:val="20"/>
                <w:szCs w:val="20"/>
              </w:rPr>
              <w:t xml:space="preserve"> czynności</w:t>
            </w:r>
            <w:r w:rsidR="005B0C7F">
              <w:rPr>
                <w:sz w:val="20"/>
                <w:szCs w:val="20"/>
              </w:rPr>
              <w:t xml:space="preserve"> (</w:t>
            </w:r>
            <w:r w:rsidR="007D4C2F">
              <w:rPr>
                <w:sz w:val="20"/>
                <w:szCs w:val="20"/>
              </w:rPr>
              <w:t>art. 4</w:t>
            </w:r>
            <w:r w:rsidR="005B0C7F">
              <w:rPr>
                <w:sz w:val="20"/>
                <w:szCs w:val="20"/>
              </w:rPr>
              <w:t xml:space="preserve"> rozporządzenia</w:t>
            </w:r>
            <w:r w:rsidR="007D4C2F">
              <w:rPr>
                <w:sz w:val="20"/>
                <w:szCs w:val="20"/>
              </w:rPr>
              <w:t>)</w:t>
            </w:r>
            <w:r w:rsidRPr="000E721E">
              <w:rPr>
                <w:sz w:val="20"/>
                <w:szCs w:val="20"/>
              </w:rPr>
              <w:t>. Poświadczenia takich dokumentów mogą być przedmiotem procedury sprawdzenia dokumentu w trybie rozporządzenia 2016/1191 i</w:t>
            </w:r>
            <w:r w:rsidR="005B0C7F">
              <w:rPr>
                <w:sz w:val="20"/>
                <w:szCs w:val="20"/>
              </w:rPr>
              <w:t xml:space="preserve"> ustawy je implementującej. </w:t>
            </w:r>
            <w:r w:rsidRPr="000E721E">
              <w:rPr>
                <w:sz w:val="20"/>
                <w:szCs w:val="20"/>
              </w:rPr>
              <w:t>Notariuszy należy zatem uznać za organy wydające dokumenty, względem których</w:t>
            </w:r>
            <w:r>
              <w:rPr>
                <w:sz w:val="20"/>
                <w:szCs w:val="20"/>
              </w:rPr>
              <w:t xml:space="preserve"> </w:t>
            </w:r>
            <w:r w:rsidRPr="000E721E">
              <w:rPr>
                <w:sz w:val="20"/>
                <w:szCs w:val="20"/>
              </w:rPr>
              <w:t xml:space="preserve"> przy należytym</w:t>
            </w:r>
            <w:r w:rsidR="00912ADC">
              <w:rPr>
                <w:sz w:val="20"/>
                <w:szCs w:val="20"/>
              </w:rPr>
              <w:t xml:space="preserve"> poinformowaniu społeczeństwa o </w:t>
            </w:r>
            <w:r w:rsidRPr="000E721E">
              <w:rPr>
                <w:sz w:val="20"/>
                <w:szCs w:val="20"/>
              </w:rPr>
              <w:t xml:space="preserve"> funkcjonującej regulacji unijnej</w:t>
            </w:r>
            <w:r>
              <w:rPr>
                <w:sz w:val="20"/>
                <w:szCs w:val="20"/>
              </w:rPr>
              <w:t xml:space="preserve"> </w:t>
            </w:r>
            <w:r w:rsidRPr="000E721E">
              <w:rPr>
                <w:sz w:val="20"/>
                <w:szCs w:val="20"/>
              </w:rPr>
              <w:t xml:space="preserve">– </w:t>
            </w:r>
            <w:r>
              <w:rPr>
                <w:sz w:val="20"/>
                <w:szCs w:val="20"/>
              </w:rPr>
              <w:t xml:space="preserve">przynajmniej potencjalnie </w:t>
            </w:r>
            <w:r w:rsidRPr="000E721E">
              <w:rPr>
                <w:sz w:val="20"/>
                <w:szCs w:val="20"/>
              </w:rPr>
              <w:t>– ilość zapytań w systemie IMI może być</w:t>
            </w:r>
            <w:r w:rsidR="008D2DF1">
              <w:rPr>
                <w:sz w:val="20"/>
                <w:szCs w:val="20"/>
              </w:rPr>
              <w:t xml:space="preserve"> istotnie</w:t>
            </w:r>
            <w:r w:rsidRPr="000E721E">
              <w:rPr>
                <w:sz w:val="20"/>
                <w:szCs w:val="20"/>
              </w:rPr>
              <w:t xml:space="preserve"> </w:t>
            </w:r>
            <w:r w:rsidR="008D2DF1">
              <w:rPr>
                <w:sz w:val="20"/>
                <w:szCs w:val="20"/>
              </w:rPr>
              <w:t>zauważalna</w:t>
            </w:r>
            <w:r w:rsidRPr="000E721E">
              <w:rPr>
                <w:sz w:val="20"/>
                <w:szCs w:val="20"/>
              </w:rPr>
              <w:t>.</w:t>
            </w:r>
          </w:p>
        </w:tc>
      </w:tr>
      <w:tr w:rsidR="006D0A72" w:rsidRPr="006A58E0" w:rsidTr="00482C75">
        <w:trPr>
          <w:trHeight w:val="93"/>
        </w:trPr>
        <w:tc>
          <w:tcPr>
            <w:tcW w:w="182" w:type="pct"/>
            <w:vMerge/>
          </w:tcPr>
          <w:p w:rsidR="002A4C6B" w:rsidRDefault="002A4C6B" w:rsidP="00D85E98">
            <w:pPr>
              <w:rPr>
                <w:sz w:val="20"/>
                <w:szCs w:val="20"/>
              </w:rPr>
            </w:pPr>
          </w:p>
        </w:tc>
        <w:tc>
          <w:tcPr>
            <w:tcW w:w="608" w:type="pct"/>
            <w:vMerge/>
          </w:tcPr>
          <w:p w:rsidR="002A4C6B" w:rsidRPr="00BF017F" w:rsidRDefault="002A4C6B" w:rsidP="00D85E98">
            <w:pPr>
              <w:rPr>
                <w:b/>
                <w:sz w:val="20"/>
                <w:szCs w:val="20"/>
              </w:rPr>
            </w:pPr>
          </w:p>
        </w:tc>
        <w:tc>
          <w:tcPr>
            <w:tcW w:w="301" w:type="pct"/>
          </w:tcPr>
          <w:p w:rsidR="002A4C6B" w:rsidRPr="000E721E" w:rsidRDefault="002A4C6B" w:rsidP="000E721E">
            <w:pPr>
              <w:spacing w:line="276" w:lineRule="auto"/>
              <w:jc w:val="both"/>
              <w:rPr>
                <w:sz w:val="20"/>
                <w:szCs w:val="20"/>
              </w:rPr>
            </w:pPr>
            <w:r>
              <w:rPr>
                <w:sz w:val="20"/>
                <w:szCs w:val="20"/>
              </w:rPr>
              <w:t>1b</w:t>
            </w:r>
          </w:p>
        </w:tc>
        <w:tc>
          <w:tcPr>
            <w:tcW w:w="1453" w:type="pct"/>
          </w:tcPr>
          <w:p w:rsidR="002A4C6B" w:rsidRDefault="002A4C6B" w:rsidP="006D12E0">
            <w:pPr>
              <w:spacing w:line="276" w:lineRule="auto"/>
              <w:jc w:val="both"/>
              <w:rPr>
                <w:sz w:val="20"/>
                <w:szCs w:val="20"/>
              </w:rPr>
            </w:pPr>
            <w:r w:rsidRPr="000E721E">
              <w:rPr>
                <w:sz w:val="20"/>
                <w:szCs w:val="20"/>
              </w:rPr>
              <w:t>Wedle art. 42</w:t>
            </w:r>
            <w:r>
              <w:rPr>
                <w:sz w:val="20"/>
                <w:szCs w:val="20"/>
              </w:rPr>
              <w:t xml:space="preserve"> </w:t>
            </w:r>
            <w:proofErr w:type="spellStart"/>
            <w:r w:rsidR="006D12E0" w:rsidRPr="006D12E0">
              <w:rPr>
                <w:sz w:val="20"/>
                <w:szCs w:val="20"/>
              </w:rPr>
              <w:t>u.p</w:t>
            </w:r>
            <w:r w:rsidR="006D12E0">
              <w:rPr>
                <w:sz w:val="20"/>
                <w:szCs w:val="20"/>
              </w:rPr>
              <w:t>.</w:t>
            </w:r>
            <w:r w:rsidR="006D12E0" w:rsidRPr="006D12E0">
              <w:rPr>
                <w:sz w:val="20"/>
                <w:szCs w:val="20"/>
              </w:rPr>
              <w:t>n</w:t>
            </w:r>
            <w:proofErr w:type="spellEnd"/>
            <w:r w:rsidR="006D12E0" w:rsidRPr="006D12E0">
              <w:rPr>
                <w:sz w:val="20"/>
                <w:szCs w:val="20"/>
              </w:rPr>
              <w:t>.</w:t>
            </w:r>
            <w:r w:rsidRPr="000E721E">
              <w:rPr>
                <w:sz w:val="20"/>
                <w:szCs w:val="20"/>
              </w:rPr>
              <w:t xml:space="preserve"> nadzór nad działalnością notariuszy sprawuje Minister Sprawiedliwości, m.in. za pośrednictwem prezesów sądów apelacyjnych lub sądów okręgowych .</w:t>
            </w:r>
          </w:p>
        </w:tc>
        <w:tc>
          <w:tcPr>
            <w:tcW w:w="2456" w:type="pct"/>
          </w:tcPr>
          <w:p w:rsidR="002A4C6B" w:rsidRPr="006D12E0" w:rsidRDefault="002A4C6B" w:rsidP="00CD56A9">
            <w:pPr>
              <w:jc w:val="both"/>
              <w:rPr>
                <w:b/>
                <w:sz w:val="20"/>
                <w:szCs w:val="20"/>
              </w:rPr>
            </w:pPr>
            <w:r w:rsidRPr="006A58E0">
              <w:rPr>
                <w:b/>
                <w:sz w:val="20"/>
                <w:szCs w:val="20"/>
              </w:rPr>
              <w:t xml:space="preserve">Uwaga </w:t>
            </w:r>
            <w:r>
              <w:rPr>
                <w:b/>
                <w:sz w:val="20"/>
                <w:szCs w:val="20"/>
              </w:rPr>
              <w:t>nie</w:t>
            </w:r>
            <w:r w:rsidRPr="006A58E0">
              <w:rPr>
                <w:b/>
                <w:sz w:val="20"/>
                <w:szCs w:val="20"/>
              </w:rPr>
              <w:t>uwzględniona</w:t>
            </w:r>
            <w:r w:rsidR="00EC402A">
              <w:rPr>
                <w:b/>
                <w:sz w:val="20"/>
                <w:szCs w:val="20"/>
              </w:rPr>
              <w:t xml:space="preserve">  - </w:t>
            </w:r>
            <w:r w:rsidRPr="00975781">
              <w:rPr>
                <w:sz w:val="20"/>
              </w:rPr>
              <w:t>Projektowane rozporządzenie MS nie ma na</w:t>
            </w:r>
            <w:r>
              <w:rPr>
                <w:sz w:val="20"/>
              </w:rPr>
              <w:t xml:space="preserve"> celu </w:t>
            </w:r>
            <w:r w:rsidRPr="00975781">
              <w:rPr>
                <w:sz w:val="20"/>
              </w:rPr>
              <w:t xml:space="preserve">sprawowania przez MS nadzoru nad notariuszami. </w:t>
            </w:r>
            <w:r w:rsidR="00CD56A9">
              <w:rPr>
                <w:sz w:val="20"/>
              </w:rPr>
              <w:t>Wydawane jest celem realizacji delegacji</w:t>
            </w:r>
            <w:r w:rsidRPr="00975781">
              <w:rPr>
                <w:sz w:val="20"/>
              </w:rPr>
              <w:t xml:space="preserve"> zawartej w ustawie implement</w:t>
            </w:r>
            <w:r w:rsidR="006D12E0">
              <w:rPr>
                <w:sz w:val="20"/>
              </w:rPr>
              <w:t xml:space="preserve">ującej rozporządzenie 2016/1191. </w:t>
            </w:r>
            <w:r w:rsidRPr="00975781">
              <w:rPr>
                <w:sz w:val="20"/>
              </w:rPr>
              <w:t>Prezesi  rad izb n</w:t>
            </w:r>
            <w:r>
              <w:rPr>
                <w:sz w:val="20"/>
              </w:rPr>
              <w:t>otarialnych, jako pozostający w </w:t>
            </w:r>
            <w:r w:rsidRPr="00975781">
              <w:rPr>
                <w:sz w:val="20"/>
              </w:rPr>
              <w:t xml:space="preserve">strukturach notariatu, wchodzą w skład grupy podmiotów, które </w:t>
            </w:r>
            <w:r w:rsidR="00EC402A" w:rsidRPr="00975781">
              <w:rPr>
                <w:sz w:val="20"/>
              </w:rPr>
              <w:t>stosownie do tre</w:t>
            </w:r>
            <w:r w:rsidR="00EC402A">
              <w:rPr>
                <w:sz w:val="20"/>
              </w:rPr>
              <w:t>ści art. 12 ust. 5 ustawy implementującej</w:t>
            </w:r>
            <w:r w:rsidR="00EC402A" w:rsidRPr="00975781">
              <w:rPr>
                <w:sz w:val="20"/>
              </w:rPr>
              <w:t xml:space="preserve"> </w:t>
            </w:r>
            <w:r w:rsidRPr="00975781">
              <w:rPr>
                <w:sz w:val="20"/>
              </w:rPr>
              <w:t>mogą zostać wyznacz</w:t>
            </w:r>
            <w:r w:rsidR="00EC402A">
              <w:rPr>
                <w:sz w:val="20"/>
              </w:rPr>
              <w:t>one</w:t>
            </w:r>
            <w:r w:rsidRPr="00975781">
              <w:rPr>
                <w:sz w:val="20"/>
              </w:rPr>
              <w:t xml:space="preserve"> koordynatorami</w:t>
            </w:r>
            <w:r w:rsidR="00EC402A">
              <w:rPr>
                <w:sz w:val="20"/>
              </w:rPr>
              <w:t xml:space="preserve"> delegowanymi</w:t>
            </w:r>
            <w:r>
              <w:rPr>
                <w:sz w:val="20"/>
              </w:rPr>
              <w:t>. N</w:t>
            </w:r>
            <w:r w:rsidRPr="00975781">
              <w:rPr>
                <w:sz w:val="20"/>
              </w:rPr>
              <w:t xml:space="preserve">ależą </w:t>
            </w:r>
            <w:r>
              <w:rPr>
                <w:sz w:val="20"/>
              </w:rPr>
              <w:t xml:space="preserve">oni </w:t>
            </w:r>
            <w:r w:rsidRPr="00975781">
              <w:rPr>
                <w:sz w:val="20"/>
              </w:rPr>
              <w:t>do samorządu zawodowego posiadającego  wynikające z od</w:t>
            </w:r>
            <w:r>
              <w:rPr>
                <w:sz w:val="20"/>
              </w:rPr>
              <w:t>rębnych przepisów kompetencje o </w:t>
            </w:r>
            <w:r w:rsidRPr="00975781">
              <w:rPr>
                <w:sz w:val="20"/>
              </w:rPr>
              <w:t>charakterze kontrolnym lub nadzorczym wobec organów wydających dokumenty urzędowe.</w:t>
            </w:r>
          </w:p>
        </w:tc>
      </w:tr>
      <w:tr w:rsidR="006D0A72" w:rsidRPr="006A58E0" w:rsidTr="00482C75">
        <w:trPr>
          <w:trHeight w:val="93"/>
        </w:trPr>
        <w:tc>
          <w:tcPr>
            <w:tcW w:w="182" w:type="pct"/>
            <w:vMerge/>
          </w:tcPr>
          <w:p w:rsidR="002A4C6B" w:rsidRDefault="002A4C6B" w:rsidP="00D85E98">
            <w:pPr>
              <w:rPr>
                <w:sz w:val="20"/>
                <w:szCs w:val="20"/>
              </w:rPr>
            </w:pPr>
          </w:p>
        </w:tc>
        <w:tc>
          <w:tcPr>
            <w:tcW w:w="608" w:type="pct"/>
            <w:vMerge/>
          </w:tcPr>
          <w:p w:rsidR="002A4C6B" w:rsidRPr="00BF017F" w:rsidRDefault="002A4C6B" w:rsidP="00D85E98">
            <w:pPr>
              <w:rPr>
                <w:b/>
                <w:sz w:val="20"/>
                <w:szCs w:val="20"/>
              </w:rPr>
            </w:pPr>
          </w:p>
        </w:tc>
        <w:tc>
          <w:tcPr>
            <w:tcW w:w="301" w:type="pct"/>
          </w:tcPr>
          <w:p w:rsidR="002A4C6B" w:rsidRPr="00975781" w:rsidRDefault="002A4C6B" w:rsidP="00D85E98">
            <w:pPr>
              <w:spacing w:line="276" w:lineRule="auto"/>
              <w:jc w:val="both"/>
              <w:rPr>
                <w:sz w:val="20"/>
                <w:szCs w:val="20"/>
              </w:rPr>
            </w:pPr>
            <w:r>
              <w:rPr>
                <w:sz w:val="20"/>
                <w:szCs w:val="20"/>
              </w:rPr>
              <w:t>1c</w:t>
            </w:r>
          </w:p>
        </w:tc>
        <w:tc>
          <w:tcPr>
            <w:tcW w:w="1453" w:type="pct"/>
          </w:tcPr>
          <w:p w:rsidR="002A4C6B" w:rsidRDefault="0076298A" w:rsidP="006D12E0">
            <w:pPr>
              <w:spacing w:line="276" w:lineRule="auto"/>
              <w:jc w:val="both"/>
              <w:rPr>
                <w:sz w:val="20"/>
                <w:szCs w:val="20"/>
              </w:rPr>
            </w:pPr>
            <w:r w:rsidRPr="0076298A">
              <w:rPr>
                <w:sz w:val="20"/>
                <w:szCs w:val="20"/>
              </w:rPr>
              <w:t xml:space="preserve">Zgodnie z § 20 ust. 1 pkt 2) </w:t>
            </w:r>
            <w:r w:rsidRPr="006D12E0">
              <w:rPr>
                <w:i/>
                <w:sz w:val="20"/>
                <w:szCs w:val="20"/>
              </w:rPr>
              <w:t>rozporządzenia Ministra Sprawiedliwości z dnia 28 stycznia 2002 r. w sprawie szczegółowych czynności sądów w sprawach z zakresu międzynarodowego postępowania cywilnego oraz karnego w stosunkach międzynarodowych</w:t>
            </w:r>
            <w:r w:rsidRPr="0076298A">
              <w:rPr>
                <w:sz w:val="20"/>
                <w:szCs w:val="20"/>
              </w:rPr>
              <w:t xml:space="preserve"> (tekst jedn. Dz.U.</w:t>
            </w:r>
            <w:r>
              <w:rPr>
                <w:sz w:val="20"/>
                <w:szCs w:val="20"/>
              </w:rPr>
              <w:t xml:space="preserve"> 2014 poz. 1657</w:t>
            </w:r>
            <w:r w:rsidR="006D12E0">
              <w:rPr>
                <w:sz w:val="20"/>
                <w:szCs w:val="20"/>
              </w:rPr>
              <w:t xml:space="preserve">, dalej jako </w:t>
            </w:r>
            <w:r w:rsidR="006D12E0">
              <w:rPr>
                <w:sz w:val="20"/>
                <w:szCs w:val="20"/>
              </w:rPr>
              <w:lastRenderedPageBreak/>
              <w:t>„</w:t>
            </w:r>
            <w:r w:rsidR="006D12E0" w:rsidRPr="006D12E0">
              <w:rPr>
                <w:sz w:val="20"/>
                <w:szCs w:val="20"/>
              </w:rPr>
              <w:t>rozporządzeni</w:t>
            </w:r>
            <w:r w:rsidR="006D12E0">
              <w:rPr>
                <w:sz w:val="20"/>
                <w:szCs w:val="20"/>
              </w:rPr>
              <w:t>e</w:t>
            </w:r>
            <w:r w:rsidR="009D66C7">
              <w:rPr>
                <w:sz w:val="20"/>
                <w:szCs w:val="20"/>
              </w:rPr>
              <w:t xml:space="preserve"> MS z dnia 28 stycznia 2002 </w:t>
            </w:r>
            <w:r w:rsidR="006D12E0" w:rsidRPr="006D12E0">
              <w:rPr>
                <w:sz w:val="20"/>
                <w:szCs w:val="20"/>
              </w:rPr>
              <w:t>r</w:t>
            </w:r>
            <w:r w:rsidR="006D12E0">
              <w:rPr>
                <w:sz w:val="20"/>
                <w:szCs w:val="20"/>
              </w:rPr>
              <w:t>.”</w:t>
            </w:r>
            <w:r>
              <w:rPr>
                <w:sz w:val="20"/>
                <w:szCs w:val="20"/>
              </w:rPr>
              <w:t>)</w:t>
            </w:r>
            <w:r w:rsidR="002A4C6B" w:rsidRPr="00975781">
              <w:rPr>
                <w:sz w:val="20"/>
                <w:szCs w:val="20"/>
              </w:rPr>
              <w:t>, jeżeli na wniosek osoby zainteresowanej dokument notarialny</w:t>
            </w:r>
            <w:r w:rsidR="00912ADC">
              <w:rPr>
                <w:sz w:val="20"/>
                <w:szCs w:val="20"/>
              </w:rPr>
              <w:t xml:space="preserve"> sporządzony w </w:t>
            </w:r>
            <w:r w:rsidR="00D047A7">
              <w:rPr>
                <w:sz w:val="20"/>
                <w:szCs w:val="20"/>
              </w:rPr>
              <w:t>Rzeczypospolitej Polskiej i </w:t>
            </w:r>
            <w:r w:rsidR="002A4C6B" w:rsidRPr="00975781">
              <w:rPr>
                <w:sz w:val="20"/>
                <w:szCs w:val="20"/>
              </w:rPr>
              <w:t>przeznaczony do użytku za granicą ma być uwierzytelniony, podpis notariusza i jego pieczęć urzędową uwierzytelnia prezes właściwego sądu okręgowego albo upoważniony przez niego s</w:t>
            </w:r>
            <w:r w:rsidR="006D12E0">
              <w:rPr>
                <w:sz w:val="20"/>
                <w:szCs w:val="20"/>
              </w:rPr>
              <w:t>ędzia lub referendarz sądowy; w </w:t>
            </w:r>
            <w:r w:rsidR="002A4C6B" w:rsidRPr="00975781">
              <w:rPr>
                <w:sz w:val="20"/>
                <w:szCs w:val="20"/>
              </w:rPr>
              <w:t>tym celu przed prezesem sądu okręgowego notariusz składa wzór podpisu oraz odcisk pieczęci urzędowej, celem porównywania go ze złożonymi na dokumencie przeznaczonym do legalizacji podpisem notariusza i odciskiem pieczęci.</w:t>
            </w:r>
          </w:p>
        </w:tc>
        <w:tc>
          <w:tcPr>
            <w:tcW w:w="2456" w:type="pct"/>
          </w:tcPr>
          <w:p w:rsidR="002A4C6B" w:rsidRPr="00283474" w:rsidRDefault="002A4C6B" w:rsidP="00283474">
            <w:pPr>
              <w:jc w:val="both"/>
              <w:rPr>
                <w:sz w:val="20"/>
                <w:szCs w:val="20"/>
              </w:rPr>
            </w:pPr>
            <w:r>
              <w:rPr>
                <w:b/>
                <w:sz w:val="20"/>
                <w:szCs w:val="20"/>
              </w:rPr>
              <w:lastRenderedPageBreak/>
              <w:t xml:space="preserve"> Uwaga nieuwzględniona – </w:t>
            </w:r>
            <w:r w:rsidRPr="00975781">
              <w:rPr>
                <w:sz w:val="20"/>
                <w:szCs w:val="20"/>
              </w:rPr>
              <w:t xml:space="preserve">Z dniem wejścia w życie rozporządzenia 2016/1191 </w:t>
            </w:r>
            <w:r>
              <w:rPr>
                <w:sz w:val="20"/>
                <w:szCs w:val="20"/>
              </w:rPr>
              <w:t xml:space="preserve">zastosowanie przywołanego przez KRN aktu prawnego </w:t>
            </w:r>
            <w:r w:rsidRPr="00975781">
              <w:rPr>
                <w:sz w:val="20"/>
                <w:szCs w:val="20"/>
              </w:rPr>
              <w:t xml:space="preserve">uległo znacznemu ograniczeniu. </w:t>
            </w:r>
            <w:r>
              <w:rPr>
                <w:sz w:val="20"/>
                <w:szCs w:val="20"/>
              </w:rPr>
              <w:t xml:space="preserve"> </w:t>
            </w:r>
            <w:r w:rsidRPr="00975781">
              <w:rPr>
                <w:sz w:val="20"/>
                <w:szCs w:val="20"/>
              </w:rPr>
              <w:t>Zg</w:t>
            </w:r>
            <w:r w:rsidR="006D12E0">
              <w:rPr>
                <w:sz w:val="20"/>
                <w:szCs w:val="20"/>
              </w:rPr>
              <w:t>odnie z § 2 rozporządzenia MS z </w:t>
            </w:r>
            <w:r w:rsidRPr="00975781">
              <w:rPr>
                <w:sz w:val="20"/>
                <w:szCs w:val="20"/>
              </w:rPr>
              <w:t>dnia 28 stycznia 2002 r., jego przepisów nie stosuje się, jeżeli przepisy odrębne albo ratyfikowan</w:t>
            </w:r>
            <w:r>
              <w:rPr>
                <w:sz w:val="20"/>
                <w:szCs w:val="20"/>
              </w:rPr>
              <w:t xml:space="preserve">e umowy międzynarodowe regulują </w:t>
            </w:r>
            <w:r w:rsidRPr="00975781">
              <w:rPr>
                <w:sz w:val="20"/>
                <w:szCs w:val="20"/>
              </w:rPr>
              <w:t>czynności sądów powszechnych w sposób odmienny. Taką regulacją szczególną w zakresie określonych dokumentów urzędowych wydanych przez organy Państ</w:t>
            </w:r>
            <w:r>
              <w:rPr>
                <w:sz w:val="20"/>
                <w:szCs w:val="20"/>
              </w:rPr>
              <w:t xml:space="preserve">wa Członkowskiego </w:t>
            </w:r>
            <w:r w:rsidRPr="00975781">
              <w:rPr>
                <w:sz w:val="20"/>
                <w:szCs w:val="20"/>
              </w:rPr>
              <w:t>jest rozporządzenie 2016/1191.</w:t>
            </w:r>
          </w:p>
        </w:tc>
      </w:tr>
      <w:tr w:rsidR="006D0A72" w:rsidRPr="006A58E0" w:rsidTr="00482C75">
        <w:trPr>
          <w:trHeight w:val="93"/>
        </w:trPr>
        <w:tc>
          <w:tcPr>
            <w:tcW w:w="182" w:type="pct"/>
            <w:vMerge/>
          </w:tcPr>
          <w:p w:rsidR="002A4C6B" w:rsidRDefault="002A4C6B" w:rsidP="00D85E98">
            <w:pPr>
              <w:rPr>
                <w:sz w:val="20"/>
                <w:szCs w:val="20"/>
              </w:rPr>
            </w:pPr>
          </w:p>
        </w:tc>
        <w:tc>
          <w:tcPr>
            <w:tcW w:w="608" w:type="pct"/>
            <w:vMerge/>
          </w:tcPr>
          <w:p w:rsidR="002A4C6B" w:rsidRPr="00BF017F" w:rsidRDefault="002A4C6B" w:rsidP="00D85E98">
            <w:pPr>
              <w:rPr>
                <w:b/>
                <w:sz w:val="20"/>
                <w:szCs w:val="20"/>
              </w:rPr>
            </w:pPr>
          </w:p>
        </w:tc>
        <w:tc>
          <w:tcPr>
            <w:tcW w:w="301" w:type="pct"/>
          </w:tcPr>
          <w:p w:rsidR="002A4C6B" w:rsidRPr="00283474" w:rsidRDefault="002A4C6B" w:rsidP="00D85E98">
            <w:pPr>
              <w:spacing w:line="276" w:lineRule="auto"/>
              <w:jc w:val="both"/>
              <w:rPr>
                <w:sz w:val="20"/>
                <w:szCs w:val="20"/>
              </w:rPr>
            </w:pPr>
            <w:r>
              <w:rPr>
                <w:sz w:val="20"/>
                <w:szCs w:val="20"/>
              </w:rPr>
              <w:t>1d</w:t>
            </w:r>
          </w:p>
        </w:tc>
        <w:tc>
          <w:tcPr>
            <w:tcW w:w="1453" w:type="pct"/>
          </w:tcPr>
          <w:p w:rsidR="002A4C6B" w:rsidRDefault="002A4C6B" w:rsidP="00D85E98">
            <w:pPr>
              <w:spacing w:line="276" w:lineRule="auto"/>
              <w:jc w:val="both"/>
              <w:rPr>
                <w:sz w:val="20"/>
                <w:szCs w:val="20"/>
              </w:rPr>
            </w:pPr>
            <w:r w:rsidRPr="00283474">
              <w:rPr>
                <w:sz w:val="20"/>
                <w:szCs w:val="20"/>
              </w:rPr>
              <w:t>Zgodnie z treścią rozporządzenia 2016/1191 organ kontrolny, podejmuje cz</w:t>
            </w:r>
            <w:r w:rsidR="000012A4">
              <w:rPr>
                <w:sz w:val="20"/>
                <w:szCs w:val="20"/>
              </w:rPr>
              <w:t>ynności sprawdzające, niejako w </w:t>
            </w:r>
            <w:r w:rsidRPr="00283474">
              <w:rPr>
                <w:sz w:val="20"/>
                <w:szCs w:val="20"/>
              </w:rPr>
              <w:t>ostatniej instancji, dlatego nie powinno być tych przypadków dużo. W szczególności możliwe jest bezpośrednie odwołanie się do organu, tu notariusza, który dokument sporządził.</w:t>
            </w:r>
          </w:p>
        </w:tc>
        <w:tc>
          <w:tcPr>
            <w:tcW w:w="2456" w:type="pct"/>
          </w:tcPr>
          <w:p w:rsidR="002A4C6B" w:rsidRPr="006A58E0" w:rsidRDefault="002A4C6B" w:rsidP="00612840">
            <w:pPr>
              <w:jc w:val="both"/>
              <w:rPr>
                <w:b/>
                <w:sz w:val="20"/>
                <w:szCs w:val="20"/>
              </w:rPr>
            </w:pPr>
            <w:r>
              <w:rPr>
                <w:b/>
                <w:sz w:val="20"/>
                <w:szCs w:val="20"/>
              </w:rPr>
              <w:t xml:space="preserve">Uwaga nieuwzględniona – </w:t>
            </w:r>
            <w:r w:rsidRPr="00283474">
              <w:rPr>
                <w:sz w:val="20"/>
                <w:szCs w:val="20"/>
              </w:rPr>
              <w:t>Regułą, tak</w:t>
            </w:r>
            <w:r w:rsidR="00912ADC">
              <w:rPr>
                <w:sz w:val="20"/>
                <w:szCs w:val="20"/>
              </w:rPr>
              <w:t>że</w:t>
            </w:r>
            <w:r w:rsidRPr="00283474">
              <w:rPr>
                <w:sz w:val="20"/>
                <w:szCs w:val="20"/>
              </w:rPr>
              <w:t xml:space="preserve"> w zakresie dokumentów wydanych przez sądy </w:t>
            </w:r>
            <w:r w:rsidR="00612840">
              <w:rPr>
                <w:sz w:val="20"/>
                <w:szCs w:val="20"/>
              </w:rPr>
              <w:t>oraz</w:t>
            </w:r>
            <w:r w:rsidRPr="00283474">
              <w:rPr>
                <w:sz w:val="20"/>
                <w:szCs w:val="20"/>
              </w:rPr>
              <w:t xml:space="preserve"> dokumentów wydanych przez notariuszy jest udzielenie odpowiedzi  przez organ</w:t>
            </w:r>
            <w:r w:rsidR="009D66C7">
              <w:rPr>
                <w:sz w:val="20"/>
                <w:szCs w:val="20"/>
              </w:rPr>
              <w:t>,</w:t>
            </w:r>
            <w:r w:rsidRPr="00283474">
              <w:rPr>
                <w:sz w:val="20"/>
                <w:szCs w:val="20"/>
              </w:rPr>
              <w:t xml:space="preserve"> który wydał dokument. </w:t>
            </w:r>
            <w:r w:rsidR="000012A4">
              <w:rPr>
                <w:sz w:val="20"/>
                <w:szCs w:val="20"/>
              </w:rPr>
              <w:t>Nie</w:t>
            </w:r>
            <w:r w:rsidRPr="00283474">
              <w:rPr>
                <w:sz w:val="20"/>
                <w:szCs w:val="20"/>
              </w:rPr>
              <w:t xml:space="preserve"> sposób traktować koordynatora delegowanego jako </w:t>
            </w:r>
            <w:r w:rsidR="009D66C7">
              <w:rPr>
                <w:sz w:val="20"/>
                <w:szCs w:val="20"/>
              </w:rPr>
              <w:t>co do zasady</w:t>
            </w:r>
            <w:r w:rsidR="000012A4">
              <w:rPr>
                <w:sz w:val="20"/>
                <w:szCs w:val="20"/>
              </w:rPr>
              <w:t xml:space="preserve"> </w:t>
            </w:r>
            <w:r w:rsidRPr="00283474">
              <w:rPr>
                <w:sz w:val="20"/>
                <w:szCs w:val="20"/>
              </w:rPr>
              <w:t>organ</w:t>
            </w:r>
            <w:r w:rsidR="000012A4">
              <w:rPr>
                <w:sz w:val="20"/>
                <w:szCs w:val="20"/>
              </w:rPr>
              <w:t>u kontrolnego</w:t>
            </w:r>
            <w:r w:rsidRPr="00283474">
              <w:rPr>
                <w:sz w:val="20"/>
                <w:szCs w:val="20"/>
              </w:rPr>
              <w:t>. Koordynator delegowany wykonuje zadania wskazane w pro</w:t>
            </w:r>
            <w:r w:rsidR="009D66C7">
              <w:rPr>
                <w:sz w:val="20"/>
                <w:szCs w:val="20"/>
              </w:rPr>
              <w:t>jektowanym rozporządzeniu, co w </w:t>
            </w:r>
            <w:r w:rsidRPr="00283474">
              <w:rPr>
                <w:sz w:val="20"/>
                <w:szCs w:val="20"/>
              </w:rPr>
              <w:t>zdecydowanej większości sprowadzać się winno do  rejestracji organu (notariusza) właściwego do udzielenia odpowiedzi i przekazania mu wniosku. Sytuacje, gdy  koordynator delegowany udzieli odpowiedzi należy przewidywać jako incydentaln</w:t>
            </w:r>
            <w:r w:rsidR="00BD1657">
              <w:rPr>
                <w:sz w:val="20"/>
                <w:szCs w:val="20"/>
              </w:rPr>
              <w:t>e, będą one miały miejsce gdy z </w:t>
            </w:r>
            <w:r w:rsidRPr="00283474">
              <w:rPr>
                <w:sz w:val="20"/>
                <w:szCs w:val="20"/>
              </w:rPr>
              <w:t>danych przyczyn (zniszczenie lub  zaginiecie akt oddanych do archiwum), niemożliwym będzie udziel</w:t>
            </w:r>
            <w:r w:rsidR="007F6020">
              <w:rPr>
                <w:sz w:val="20"/>
                <w:szCs w:val="20"/>
              </w:rPr>
              <w:t>enie</w:t>
            </w:r>
            <w:r w:rsidR="00BD1657">
              <w:rPr>
                <w:sz w:val="20"/>
                <w:szCs w:val="20"/>
              </w:rPr>
              <w:t xml:space="preserve"> merytorycznej</w:t>
            </w:r>
            <w:r w:rsidR="007F6020">
              <w:rPr>
                <w:sz w:val="20"/>
                <w:szCs w:val="20"/>
              </w:rPr>
              <w:t xml:space="preserve"> odpowiedzi na dany wniosek.</w:t>
            </w:r>
          </w:p>
        </w:tc>
      </w:tr>
      <w:tr w:rsidR="006D0A72" w:rsidRPr="006A58E0" w:rsidTr="00482C75">
        <w:trPr>
          <w:trHeight w:val="93"/>
        </w:trPr>
        <w:tc>
          <w:tcPr>
            <w:tcW w:w="182" w:type="pct"/>
            <w:vMerge/>
          </w:tcPr>
          <w:p w:rsidR="002A4C6B" w:rsidRDefault="002A4C6B" w:rsidP="00D85E98">
            <w:pPr>
              <w:rPr>
                <w:sz w:val="20"/>
                <w:szCs w:val="20"/>
              </w:rPr>
            </w:pPr>
          </w:p>
        </w:tc>
        <w:tc>
          <w:tcPr>
            <w:tcW w:w="608" w:type="pct"/>
            <w:vMerge/>
          </w:tcPr>
          <w:p w:rsidR="002A4C6B" w:rsidRPr="00BF017F" w:rsidRDefault="002A4C6B" w:rsidP="00D85E98">
            <w:pPr>
              <w:rPr>
                <w:b/>
                <w:sz w:val="20"/>
                <w:szCs w:val="20"/>
              </w:rPr>
            </w:pPr>
          </w:p>
        </w:tc>
        <w:tc>
          <w:tcPr>
            <w:tcW w:w="301" w:type="pct"/>
          </w:tcPr>
          <w:p w:rsidR="002A4C6B" w:rsidRPr="00283474" w:rsidRDefault="002A4C6B" w:rsidP="00D85E98">
            <w:pPr>
              <w:spacing w:line="276" w:lineRule="auto"/>
              <w:jc w:val="both"/>
              <w:rPr>
                <w:sz w:val="20"/>
                <w:szCs w:val="20"/>
              </w:rPr>
            </w:pPr>
            <w:r>
              <w:rPr>
                <w:sz w:val="20"/>
                <w:szCs w:val="20"/>
              </w:rPr>
              <w:t>1e</w:t>
            </w:r>
          </w:p>
        </w:tc>
        <w:tc>
          <w:tcPr>
            <w:tcW w:w="1453" w:type="pct"/>
          </w:tcPr>
          <w:p w:rsidR="002A4C6B" w:rsidRDefault="002A4C6B" w:rsidP="005B3B35">
            <w:pPr>
              <w:spacing w:line="276" w:lineRule="auto"/>
              <w:jc w:val="both"/>
              <w:rPr>
                <w:sz w:val="20"/>
                <w:szCs w:val="20"/>
              </w:rPr>
            </w:pPr>
            <w:r w:rsidRPr="00283474">
              <w:rPr>
                <w:sz w:val="20"/>
                <w:szCs w:val="20"/>
              </w:rPr>
              <w:t>Powierzenie prezesom izb notarialnych funkcji koordynatorów delegowanych  prowadzi do dublowa</w:t>
            </w:r>
            <w:r w:rsidR="009D66C7">
              <w:rPr>
                <w:sz w:val="20"/>
                <w:szCs w:val="20"/>
              </w:rPr>
              <w:t>nia pracy i kosztów związanych z </w:t>
            </w:r>
            <w:r w:rsidRPr="00283474">
              <w:rPr>
                <w:sz w:val="20"/>
                <w:szCs w:val="20"/>
              </w:rPr>
              <w:t>wykonywaniem obowiąz</w:t>
            </w:r>
            <w:r>
              <w:rPr>
                <w:sz w:val="20"/>
                <w:szCs w:val="20"/>
              </w:rPr>
              <w:t>ków koordynatora delegowanego i </w:t>
            </w:r>
            <w:r w:rsidR="009D66C7">
              <w:rPr>
                <w:sz w:val="20"/>
                <w:szCs w:val="20"/>
              </w:rPr>
              <w:t>obowiązków określonych w § 20 ust. 1 pkt 2</w:t>
            </w:r>
            <w:r w:rsidRPr="00283474">
              <w:rPr>
                <w:sz w:val="20"/>
                <w:szCs w:val="20"/>
              </w:rPr>
              <w:t xml:space="preserve"> rozporządzenia Ministra Sprawiedliwoś</w:t>
            </w:r>
            <w:r w:rsidR="005B3B35">
              <w:rPr>
                <w:sz w:val="20"/>
                <w:szCs w:val="20"/>
              </w:rPr>
              <w:t>ci z dnia 28 stycznia 2002 r.</w:t>
            </w:r>
          </w:p>
        </w:tc>
        <w:tc>
          <w:tcPr>
            <w:tcW w:w="2456" w:type="pct"/>
          </w:tcPr>
          <w:p w:rsidR="002A4C6B" w:rsidRPr="00283474" w:rsidRDefault="002A4C6B" w:rsidP="00283474">
            <w:pPr>
              <w:jc w:val="both"/>
              <w:rPr>
                <w:sz w:val="20"/>
                <w:szCs w:val="20"/>
              </w:rPr>
            </w:pPr>
            <w:r w:rsidRPr="006A58E0">
              <w:rPr>
                <w:b/>
                <w:sz w:val="20"/>
                <w:szCs w:val="20"/>
              </w:rPr>
              <w:t xml:space="preserve">Uwaga </w:t>
            </w:r>
            <w:r>
              <w:rPr>
                <w:b/>
                <w:sz w:val="20"/>
                <w:szCs w:val="20"/>
              </w:rPr>
              <w:t>nie</w:t>
            </w:r>
            <w:r w:rsidRPr="006A58E0">
              <w:rPr>
                <w:b/>
                <w:sz w:val="20"/>
                <w:szCs w:val="20"/>
              </w:rPr>
              <w:t>uwzględniona</w:t>
            </w:r>
            <w:r>
              <w:rPr>
                <w:b/>
                <w:sz w:val="20"/>
                <w:szCs w:val="20"/>
              </w:rPr>
              <w:t xml:space="preserve"> </w:t>
            </w:r>
            <w:r w:rsidRPr="00283474">
              <w:rPr>
                <w:sz w:val="20"/>
                <w:szCs w:val="20"/>
              </w:rPr>
              <w:t>- Brak jest dublowania czynności prowadzących do zwiększenia kosztów wdrożenia rozporządzenia</w:t>
            </w:r>
            <w:r w:rsidR="009D66C7">
              <w:rPr>
                <w:sz w:val="20"/>
                <w:szCs w:val="20"/>
              </w:rPr>
              <w:t xml:space="preserve"> 2016/1191. Ani koordynatorzy w </w:t>
            </w:r>
            <w:r w:rsidRPr="00283474">
              <w:rPr>
                <w:sz w:val="20"/>
                <w:szCs w:val="20"/>
              </w:rPr>
              <w:t>pionie dokumentów wydawanych przez sądy (prezesi SA), ani w pionie dokumentów notarialnych (prezesi rad izb notarialnych) co do zasady nie będą</w:t>
            </w:r>
            <w:r w:rsidR="009D66C7">
              <w:rPr>
                <w:sz w:val="20"/>
                <w:szCs w:val="20"/>
              </w:rPr>
              <w:t xml:space="preserve"> procedowali tego samego wniosku. M</w:t>
            </w:r>
            <w:r w:rsidRPr="00283474">
              <w:rPr>
                <w:sz w:val="20"/>
                <w:szCs w:val="20"/>
              </w:rPr>
              <w:t xml:space="preserve">iałoby to miejsce </w:t>
            </w:r>
            <w:r w:rsidR="009D66C7">
              <w:rPr>
                <w:sz w:val="20"/>
                <w:szCs w:val="20"/>
              </w:rPr>
              <w:t xml:space="preserve">w </w:t>
            </w:r>
            <w:r w:rsidRPr="00283474">
              <w:rPr>
                <w:sz w:val="20"/>
                <w:szCs w:val="20"/>
              </w:rPr>
              <w:t>sytuacji rejestrowania przez obu koordynatorów tego samego podmiotu (</w:t>
            </w:r>
            <w:r w:rsidR="00BD1657">
              <w:rPr>
                <w:sz w:val="20"/>
                <w:szCs w:val="20"/>
              </w:rPr>
              <w:t xml:space="preserve">podwojeniem czynności </w:t>
            </w:r>
            <w:r w:rsidRPr="00283474">
              <w:rPr>
                <w:sz w:val="20"/>
                <w:szCs w:val="20"/>
              </w:rPr>
              <w:t xml:space="preserve"> byłaby jednoczesna rejestracja notariusza lub sądu przez koordynatora </w:t>
            </w:r>
            <w:r w:rsidR="007F6020">
              <w:rPr>
                <w:sz w:val="20"/>
                <w:szCs w:val="20"/>
              </w:rPr>
              <w:t xml:space="preserve">prezesa </w:t>
            </w:r>
            <w:proofErr w:type="spellStart"/>
            <w:r w:rsidR="007F6020">
              <w:rPr>
                <w:sz w:val="20"/>
                <w:szCs w:val="20"/>
              </w:rPr>
              <w:t>r.i.n</w:t>
            </w:r>
            <w:proofErr w:type="spellEnd"/>
            <w:r w:rsidR="007F6020">
              <w:rPr>
                <w:sz w:val="20"/>
                <w:szCs w:val="20"/>
              </w:rPr>
              <w:t>. oraz prezesa SA)</w:t>
            </w:r>
            <w:r w:rsidRPr="00283474">
              <w:rPr>
                <w:sz w:val="20"/>
                <w:szCs w:val="20"/>
              </w:rPr>
              <w:t>, przekazywania na wstępie  tego s</w:t>
            </w:r>
            <w:r w:rsidR="007F6020">
              <w:rPr>
                <w:sz w:val="20"/>
                <w:szCs w:val="20"/>
              </w:rPr>
              <w:t xml:space="preserve">amego wniosku zarówno jednemu </w:t>
            </w:r>
            <w:r w:rsidR="007F6020">
              <w:rPr>
                <w:sz w:val="20"/>
                <w:szCs w:val="20"/>
              </w:rPr>
              <w:lastRenderedPageBreak/>
              <w:t>z </w:t>
            </w:r>
            <w:r w:rsidRPr="00283474">
              <w:rPr>
                <w:sz w:val="20"/>
                <w:szCs w:val="20"/>
              </w:rPr>
              <w:t>sądów jak i jednemu z notariuszy, udzielania przez koordynatora wyjaśnień dowolnemu organowi, niezależnie czy dokument objęty zapytaniem został wydany przez</w:t>
            </w:r>
            <w:r w:rsidR="00612840">
              <w:rPr>
                <w:sz w:val="20"/>
                <w:szCs w:val="20"/>
              </w:rPr>
              <w:t xml:space="preserve"> są</w:t>
            </w:r>
            <w:r w:rsidRPr="00283474">
              <w:rPr>
                <w:sz w:val="20"/>
                <w:szCs w:val="20"/>
              </w:rPr>
              <w:t xml:space="preserve">d czy notariusza. </w:t>
            </w:r>
            <w:r w:rsidR="009D66C7">
              <w:rPr>
                <w:sz w:val="20"/>
                <w:szCs w:val="20"/>
              </w:rPr>
              <w:t xml:space="preserve"> Projektowane rozporządzenie nie przewiduje takiego dublowania czynności koordynatorów delegowanych.</w:t>
            </w:r>
          </w:p>
          <w:p w:rsidR="002A4C6B" w:rsidRPr="006A58E0" w:rsidRDefault="002A4C6B" w:rsidP="001742FF">
            <w:pPr>
              <w:jc w:val="both"/>
              <w:rPr>
                <w:b/>
                <w:sz w:val="20"/>
                <w:szCs w:val="20"/>
              </w:rPr>
            </w:pPr>
            <w:r w:rsidRPr="00283474">
              <w:rPr>
                <w:sz w:val="20"/>
                <w:szCs w:val="20"/>
              </w:rPr>
              <w:t>Nadto aktualność zachowują twierdzenia  za</w:t>
            </w:r>
            <w:r w:rsidR="001742FF">
              <w:rPr>
                <w:sz w:val="20"/>
                <w:szCs w:val="20"/>
              </w:rPr>
              <w:t>warte w odpowiedzi na uwagę nr 1c</w:t>
            </w:r>
            <w:r w:rsidRPr="00283474">
              <w:rPr>
                <w:sz w:val="20"/>
                <w:szCs w:val="20"/>
              </w:rPr>
              <w:t>.</w:t>
            </w:r>
          </w:p>
        </w:tc>
      </w:tr>
      <w:tr w:rsidR="006D0A72" w:rsidRPr="006A58E0" w:rsidTr="00482C75">
        <w:trPr>
          <w:trHeight w:val="93"/>
        </w:trPr>
        <w:tc>
          <w:tcPr>
            <w:tcW w:w="182" w:type="pct"/>
            <w:vMerge/>
          </w:tcPr>
          <w:p w:rsidR="002A4C6B" w:rsidRDefault="002A4C6B" w:rsidP="00D85E98">
            <w:pPr>
              <w:rPr>
                <w:sz w:val="20"/>
                <w:szCs w:val="20"/>
              </w:rPr>
            </w:pPr>
          </w:p>
        </w:tc>
        <w:tc>
          <w:tcPr>
            <w:tcW w:w="608" w:type="pct"/>
            <w:vMerge/>
          </w:tcPr>
          <w:p w:rsidR="002A4C6B" w:rsidRPr="00BF017F" w:rsidRDefault="002A4C6B" w:rsidP="00D85E98">
            <w:pPr>
              <w:rPr>
                <w:b/>
                <w:sz w:val="20"/>
                <w:szCs w:val="20"/>
              </w:rPr>
            </w:pPr>
          </w:p>
        </w:tc>
        <w:tc>
          <w:tcPr>
            <w:tcW w:w="301" w:type="pct"/>
          </w:tcPr>
          <w:p w:rsidR="002A4C6B" w:rsidRPr="00D22D2B" w:rsidRDefault="002A4C6B" w:rsidP="00D85E98">
            <w:pPr>
              <w:spacing w:line="276" w:lineRule="auto"/>
              <w:jc w:val="both"/>
              <w:rPr>
                <w:sz w:val="20"/>
                <w:szCs w:val="20"/>
              </w:rPr>
            </w:pPr>
            <w:r>
              <w:rPr>
                <w:sz w:val="20"/>
                <w:szCs w:val="20"/>
              </w:rPr>
              <w:t>1f</w:t>
            </w:r>
          </w:p>
        </w:tc>
        <w:tc>
          <w:tcPr>
            <w:tcW w:w="1453" w:type="pct"/>
          </w:tcPr>
          <w:p w:rsidR="002A4C6B" w:rsidRDefault="002A4C6B" w:rsidP="00D85E98">
            <w:pPr>
              <w:spacing w:line="276" w:lineRule="auto"/>
              <w:jc w:val="both"/>
              <w:rPr>
                <w:sz w:val="20"/>
                <w:szCs w:val="20"/>
              </w:rPr>
            </w:pPr>
            <w:r w:rsidRPr="00D22D2B">
              <w:rPr>
                <w:sz w:val="20"/>
                <w:szCs w:val="20"/>
              </w:rPr>
              <w:t>W przypadku nałożenia na organy samorządu notarialnego nowych obowiązków, konieczne będzie oszacowanie kosztów niezbędnych do ich wykonania i przewidzenie źródła ich finansowania.</w:t>
            </w:r>
          </w:p>
        </w:tc>
        <w:tc>
          <w:tcPr>
            <w:tcW w:w="2456" w:type="pct"/>
          </w:tcPr>
          <w:p w:rsidR="002A4C6B" w:rsidRPr="00D22D2B" w:rsidRDefault="002A4C6B" w:rsidP="00B84ED2">
            <w:pPr>
              <w:jc w:val="both"/>
              <w:rPr>
                <w:sz w:val="20"/>
                <w:szCs w:val="20"/>
              </w:rPr>
            </w:pPr>
            <w:r>
              <w:rPr>
                <w:b/>
                <w:sz w:val="20"/>
                <w:szCs w:val="20"/>
              </w:rPr>
              <w:t xml:space="preserve">Uwaga </w:t>
            </w:r>
            <w:r w:rsidR="00B84ED2">
              <w:rPr>
                <w:b/>
                <w:sz w:val="20"/>
                <w:szCs w:val="20"/>
              </w:rPr>
              <w:t>nie</w:t>
            </w:r>
            <w:r>
              <w:rPr>
                <w:b/>
                <w:sz w:val="20"/>
                <w:szCs w:val="20"/>
              </w:rPr>
              <w:t xml:space="preserve">uwzględniona </w:t>
            </w:r>
            <w:r w:rsidRPr="00952DBE">
              <w:rPr>
                <w:sz w:val="20"/>
                <w:szCs w:val="20"/>
              </w:rPr>
              <w:t xml:space="preserve">– </w:t>
            </w:r>
            <w:r w:rsidRPr="00D22D2B">
              <w:rPr>
                <w:sz w:val="20"/>
                <w:szCs w:val="20"/>
              </w:rPr>
              <w:t xml:space="preserve">W pierwszej kolejności należy zauważyć, że ustawa implementująca została przyjęta wraz Oceną Skutków Regulacji jako akt prawny, której wykonywanie nie będzie miało </w:t>
            </w:r>
            <w:r>
              <w:rPr>
                <w:sz w:val="20"/>
                <w:szCs w:val="20"/>
              </w:rPr>
              <w:t xml:space="preserve">dodatkowych </w:t>
            </w:r>
            <w:r w:rsidRPr="00D22D2B">
              <w:rPr>
                <w:sz w:val="20"/>
                <w:szCs w:val="20"/>
              </w:rPr>
              <w:t xml:space="preserve">skutków dla budżetu państwa. Podczas prac nad tą ustawą, jej brzmienie konsultowano z Krajową Radą Notarialną, a jej przedstawiciele aktywnie  </w:t>
            </w:r>
            <w:r w:rsidR="00B84ED2">
              <w:rPr>
                <w:sz w:val="20"/>
                <w:szCs w:val="20"/>
              </w:rPr>
              <w:t>współdziałali w procesie legislacyjnym (</w:t>
            </w:r>
            <w:r w:rsidRPr="00D22D2B">
              <w:rPr>
                <w:sz w:val="20"/>
                <w:szCs w:val="20"/>
              </w:rPr>
              <w:t>m.in.  uczestnicząc w dniu 9.11.2018 r. w konferencj</w:t>
            </w:r>
            <w:r w:rsidR="005B3B35">
              <w:rPr>
                <w:sz w:val="20"/>
                <w:szCs w:val="20"/>
              </w:rPr>
              <w:t>i uzgodnieniowej).  Przyjęta w </w:t>
            </w:r>
            <w:r w:rsidRPr="00D22D2B">
              <w:rPr>
                <w:sz w:val="20"/>
                <w:szCs w:val="20"/>
              </w:rPr>
              <w:t>toku prac nad ustawą  redakcja jej art. 12 us</w:t>
            </w:r>
            <w:r w:rsidR="005B3B35">
              <w:rPr>
                <w:sz w:val="20"/>
                <w:szCs w:val="20"/>
              </w:rPr>
              <w:t>t. 5 (w konsultowanym wówczas z </w:t>
            </w:r>
            <w:r w:rsidRPr="00D22D2B">
              <w:rPr>
                <w:sz w:val="20"/>
                <w:szCs w:val="20"/>
              </w:rPr>
              <w:t>KRN projekcie z dnia 8 października 2018 r. st</w:t>
            </w:r>
            <w:r w:rsidR="005B3B35">
              <w:rPr>
                <w:sz w:val="20"/>
                <w:szCs w:val="20"/>
              </w:rPr>
              <w:t>anowił on art. 14 ust.3 pkt 1)  w </w:t>
            </w:r>
            <w:r w:rsidRPr="00D22D2B">
              <w:rPr>
                <w:sz w:val="20"/>
                <w:szCs w:val="20"/>
              </w:rPr>
              <w:t>oczywisty sposób wskazuje na możliwość wyznaczenia przedstawicieli notariatu jako koordynatorów delegowanych. Ustawa, przy braku stosownych uwag Krajowej Rady Notarialnej (pismo z dnia 25.10.2018 r.)  została przyjęta jako nie generuj</w:t>
            </w:r>
            <w:r>
              <w:rPr>
                <w:sz w:val="20"/>
                <w:szCs w:val="20"/>
              </w:rPr>
              <w:t>ąca</w:t>
            </w:r>
            <w:r w:rsidRPr="00D22D2B">
              <w:rPr>
                <w:sz w:val="20"/>
                <w:szCs w:val="20"/>
              </w:rPr>
              <w:t xml:space="preserve"> dodatkowych skutków d</w:t>
            </w:r>
            <w:r w:rsidR="00B84ED2">
              <w:rPr>
                <w:sz w:val="20"/>
                <w:szCs w:val="20"/>
              </w:rPr>
              <w:t>la sektora finansów publicznych</w:t>
            </w:r>
            <w:r w:rsidR="005B3B35">
              <w:rPr>
                <w:sz w:val="20"/>
                <w:szCs w:val="20"/>
              </w:rPr>
              <w:t>. Na </w:t>
            </w:r>
            <w:r w:rsidRPr="00D22D2B">
              <w:rPr>
                <w:sz w:val="20"/>
                <w:szCs w:val="20"/>
              </w:rPr>
              <w:t xml:space="preserve">obecnym etapie procedowany jest jedynie akt wykonawczy do niej, przez co niezbędnym pozostaje zachowanie </w:t>
            </w:r>
            <w:proofErr w:type="spellStart"/>
            <w:r w:rsidRPr="00D22D2B">
              <w:rPr>
                <w:sz w:val="20"/>
                <w:szCs w:val="20"/>
              </w:rPr>
              <w:t>bezk</w:t>
            </w:r>
            <w:r>
              <w:rPr>
                <w:sz w:val="20"/>
                <w:szCs w:val="20"/>
              </w:rPr>
              <w:t>osztowego</w:t>
            </w:r>
            <w:proofErr w:type="spellEnd"/>
            <w:r>
              <w:rPr>
                <w:sz w:val="20"/>
                <w:szCs w:val="20"/>
              </w:rPr>
              <w:t xml:space="preserve"> charakteru regulacji.</w:t>
            </w:r>
          </w:p>
          <w:p w:rsidR="005B3B35" w:rsidRDefault="002A4C6B" w:rsidP="005B3B35">
            <w:pPr>
              <w:pStyle w:val="USTustnpkodeksu"/>
              <w:spacing w:line="240" w:lineRule="auto"/>
              <w:ind w:firstLine="0"/>
              <w:rPr>
                <w:rFonts w:asciiTheme="minorHAnsi" w:hAnsiTheme="minorHAnsi" w:cstheme="minorHAnsi"/>
                <w:sz w:val="20"/>
              </w:rPr>
            </w:pPr>
            <w:r w:rsidRPr="00D22D2B">
              <w:rPr>
                <w:rFonts w:asciiTheme="minorHAnsi" w:hAnsiTheme="minorHAnsi" w:cstheme="minorHAnsi"/>
                <w:sz w:val="20"/>
              </w:rPr>
              <w:t>W drugiej kolejności należy wskazać, że choć istnie</w:t>
            </w:r>
            <w:r w:rsidR="005B3B35">
              <w:rPr>
                <w:rFonts w:asciiTheme="minorHAnsi" w:hAnsiTheme="minorHAnsi" w:cstheme="minorHAnsi"/>
                <w:sz w:val="20"/>
              </w:rPr>
              <w:t>je zamknięty katalog dokumentów,</w:t>
            </w:r>
            <w:r w:rsidRPr="00D22D2B">
              <w:rPr>
                <w:rFonts w:asciiTheme="minorHAnsi" w:hAnsiTheme="minorHAnsi" w:cstheme="minorHAnsi"/>
                <w:sz w:val="20"/>
              </w:rPr>
              <w:t xml:space="preserve"> do których stosuje się rozporządzenie, to aktualnie nie sposób przewidywać </w:t>
            </w:r>
            <w:r w:rsidR="005B3B35">
              <w:rPr>
                <w:rFonts w:asciiTheme="minorHAnsi" w:hAnsiTheme="minorHAnsi" w:cstheme="minorHAnsi"/>
                <w:sz w:val="20"/>
              </w:rPr>
              <w:t>dokładnej</w:t>
            </w:r>
            <w:r w:rsidRPr="00D22D2B">
              <w:rPr>
                <w:rFonts w:asciiTheme="minorHAnsi" w:hAnsiTheme="minorHAnsi" w:cstheme="minorHAnsi"/>
                <w:sz w:val="20"/>
              </w:rPr>
              <w:t xml:space="preserve"> ilości zapytań kierowanych d</w:t>
            </w:r>
            <w:r w:rsidR="005B3B35">
              <w:rPr>
                <w:rFonts w:asciiTheme="minorHAnsi" w:hAnsiTheme="minorHAnsi" w:cstheme="minorHAnsi"/>
                <w:sz w:val="20"/>
              </w:rPr>
              <w:t>o koordynatorów delegowanych, a w </w:t>
            </w:r>
            <w:r w:rsidRPr="00D22D2B">
              <w:rPr>
                <w:rFonts w:asciiTheme="minorHAnsi" w:hAnsiTheme="minorHAnsi" w:cstheme="minorHAnsi"/>
                <w:sz w:val="20"/>
              </w:rPr>
              <w:t>konsekwencji antycypować zakresu obciążenia ich p</w:t>
            </w:r>
            <w:r w:rsidR="00B84ED2">
              <w:rPr>
                <w:rFonts w:asciiTheme="minorHAnsi" w:hAnsiTheme="minorHAnsi" w:cstheme="minorHAnsi"/>
                <w:sz w:val="20"/>
              </w:rPr>
              <w:t>racą. Oczywiście niewłaściwym i </w:t>
            </w:r>
            <w:r w:rsidRPr="00D22D2B">
              <w:rPr>
                <w:rFonts w:asciiTheme="minorHAnsi" w:hAnsiTheme="minorHAnsi" w:cstheme="minorHAnsi"/>
                <w:sz w:val="20"/>
              </w:rPr>
              <w:t xml:space="preserve">sprzecznym z koniecznością zachowania dyscypliny finansowej byłoby przyznanie środków publicznych </w:t>
            </w:r>
            <w:r w:rsidR="00B84ED2">
              <w:rPr>
                <w:rFonts w:asciiTheme="minorHAnsi" w:hAnsiTheme="minorHAnsi" w:cstheme="minorHAnsi"/>
                <w:sz w:val="20"/>
              </w:rPr>
              <w:t xml:space="preserve">prezesowi rady izby notarialnej </w:t>
            </w:r>
            <w:r w:rsidRPr="00D22D2B">
              <w:rPr>
                <w:rFonts w:asciiTheme="minorHAnsi" w:hAnsiTheme="minorHAnsi" w:cstheme="minorHAnsi"/>
                <w:sz w:val="20"/>
              </w:rPr>
              <w:t>na etat pracowniczy, gdy w ciągu roku wystąpiłaby śladowa liczba zapytań kierowanych w systemie IMI do notariusza da</w:t>
            </w:r>
            <w:r w:rsidR="005B3B35">
              <w:rPr>
                <w:rFonts w:asciiTheme="minorHAnsi" w:hAnsiTheme="minorHAnsi" w:cstheme="minorHAnsi"/>
                <w:sz w:val="20"/>
              </w:rPr>
              <w:t>nej izby, bądź takich zapytań w </w:t>
            </w:r>
            <w:r w:rsidRPr="00D22D2B">
              <w:rPr>
                <w:rFonts w:asciiTheme="minorHAnsi" w:hAnsiTheme="minorHAnsi" w:cstheme="minorHAnsi"/>
                <w:sz w:val="20"/>
              </w:rPr>
              <w:t>istocie by nie było, co skutkowałoby zasadniczo  brakiem</w:t>
            </w:r>
            <w:r w:rsidR="005B3B35">
              <w:rPr>
                <w:rFonts w:asciiTheme="minorHAnsi" w:hAnsiTheme="minorHAnsi" w:cstheme="minorHAnsi"/>
                <w:sz w:val="20"/>
              </w:rPr>
              <w:t xml:space="preserve"> konieczności</w:t>
            </w:r>
            <w:r w:rsidRPr="00D22D2B">
              <w:rPr>
                <w:rFonts w:asciiTheme="minorHAnsi" w:hAnsiTheme="minorHAnsi" w:cstheme="minorHAnsi"/>
                <w:sz w:val="20"/>
              </w:rPr>
              <w:t xml:space="preserve"> realizacji zadań przez danego koordynatora.  </w:t>
            </w:r>
          </w:p>
          <w:p w:rsidR="002A4C6B" w:rsidRPr="00D22D2B" w:rsidRDefault="002A4C6B" w:rsidP="005B3B35">
            <w:pPr>
              <w:pStyle w:val="USTustnpkodeksu"/>
              <w:spacing w:line="240" w:lineRule="auto"/>
              <w:ind w:firstLine="0"/>
              <w:rPr>
                <w:rFonts w:asciiTheme="minorHAnsi" w:hAnsiTheme="minorHAnsi" w:cstheme="minorHAnsi"/>
                <w:sz w:val="22"/>
                <w:szCs w:val="22"/>
              </w:rPr>
            </w:pPr>
            <w:r w:rsidRPr="00D22D2B">
              <w:rPr>
                <w:rFonts w:asciiTheme="minorHAnsi" w:hAnsiTheme="minorHAnsi" w:cstheme="minorHAnsi"/>
                <w:sz w:val="20"/>
              </w:rPr>
              <w:t xml:space="preserve">Należy zakładać, uwzględniając </w:t>
            </w:r>
            <w:r w:rsidR="00B84ED2">
              <w:rPr>
                <w:rFonts w:asciiTheme="minorHAnsi" w:hAnsiTheme="minorHAnsi" w:cstheme="minorHAnsi"/>
                <w:sz w:val="20"/>
              </w:rPr>
              <w:t>śladow</w:t>
            </w:r>
            <w:r w:rsidRPr="00D22D2B">
              <w:rPr>
                <w:rFonts w:asciiTheme="minorHAnsi" w:hAnsiTheme="minorHAnsi" w:cstheme="minorHAnsi"/>
                <w:sz w:val="20"/>
              </w:rPr>
              <w:t xml:space="preserve">ą ilość </w:t>
            </w:r>
            <w:proofErr w:type="spellStart"/>
            <w:r w:rsidRPr="00D22D2B">
              <w:rPr>
                <w:rFonts w:asciiTheme="minorHAnsi" w:hAnsiTheme="minorHAnsi" w:cstheme="minorHAnsi"/>
                <w:sz w:val="20"/>
              </w:rPr>
              <w:t>przeprocedowanych</w:t>
            </w:r>
            <w:proofErr w:type="spellEnd"/>
            <w:r w:rsidRPr="00D22D2B">
              <w:rPr>
                <w:rFonts w:asciiTheme="minorHAnsi" w:hAnsiTheme="minorHAnsi" w:cstheme="minorHAnsi"/>
                <w:sz w:val="20"/>
              </w:rPr>
              <w:t xml:space="preserve"> obecnie przez MSWiA wniosków dotyczących dokumentów wydawanych w dziale sprawy wewnętrzne, że przynajmniej na początku funkcjonowania systemu w systemie IMI pojawi się niewielka ilość zapytań. W przypadku, gdyby wykonywanie zadań koordynatora realnie i wymiernie obciążało notariat, możliwe  jest  późniejsze wnioskowanie o przyznanie z budżetu Państwa środków na realizację przedmiotowego celu.</w:t>
            </w:r>
          </w:p>
        </w:tc>
      </w:tr>
      <w:tr w:rsidR="000350C5" w:rsidRPr="006A58E0" w:rsidTr="008A0DCC">
        <w:trPr>
          <w:trHeight w:val="283"/>
        </w:trPr>
        <w:tc>
          <w:tcPr>
            <w:tcW w:w="182" w:type="pct"/>
            <w:vMerge w:val="restart"/>
          </w:tcPr>
          <w:p w:rsidR="000350C5" w:rsidRDefault="000350C5" w:rsidP="00D85E98">
            <w:pPr>
              <w:rPr>
                <w:sz w:val="20"/>
                <w:szCs w:val="20"/>
              </w:rPr>
            </w:pPr>
            <w:r>
              <w:rPr>
                <w:sz w:val="20"/>
                <w:szCs w:val="20"/>
              </w:rPr>
              <w:lastRenderedPageBreak/>
              <w:t>2.</w:t>
            </w:r>
          </w:p>
        </w:tc>
        <w:tc>
          <w:tcPr>
            <w:tcW w:w="608" w:type="pct"/>
            <w:vMerge w:val="restart"/>
          </w:tcPr>
          <w:p w:rsidR="000350C5" w:rsidRDefault="000350C5" w:rsidP="00D85E98">
            <w:pPr>
              <w:rPr>
                <w:b/>
                <w:sz w:val="20"/>
                <w:szCs w:val="20"/>
              </w:rPr>
            </w:pPr>
            <w:r w:rsidRPr="001742FF">
              <w:rPr>
                <w:b/>
                <w:sz w:val="20"/>
                <w:szCs w:val="20"/>
              </w:rPr>
              <w:t>Stowarzyszenie Notariuszy Rzeczypospolitej Polskiej</w:t>
            </w:r>
          </w:p>
        </w:tc>
        <w:tc>
          <w:tcPr>
            <w:tcW w:w="4210" w:type="pct"/>
            <w:gridSpan w:val="3"/>
          </w:tcPr>
          <w:p w:rsidR="000350C5" w:rsidRPr="000350C5" w:rsidRDefault="000350C5" w:rsidP="000350C5">
            <w:pPr>
              <w:spacing w:line="276" w:lineRule="auto"/>
              <w:jc w:val="center"/>
              <w:rPr>
                <w:rFonts w:cs="Times New Roman"/>
                <w:i/>
                <w:color w:val="000000"/>
                <w:sz w:val="20"/>
                <w:szCs w:val="20"/>
              </w:rPr>
            </w:pPr>
            <w:r w:rsidRPr="001742FF">
              <w:rPr>
                <w:rFonts w:cs="Times New Roman"/>
                <w:i/>
                <w:color w:val="000000"/>
                <w:sz w:val="20"/>
                <w:szCs w:val="20"/>
              </w:rPr>
              <w:t>Uwaga zgłoszona poza  poparciem wyrażonym względem</w:t>
            </w:r>
            <w:r>
              <w:rPr>
                <w:rFonts w:cs="Times New Roman"/>
                <w:i/>
                <w:color w:val="000000"/>
                <w:sz w:val="20"/>
                <w:szCs w:val="20"/>
              </w:rPr>
              <w:t xml:space="preserve"> stanowiska </w:t>
            </w:r>
            <w:r w:rsidRPr="001742FF">
              <w:rPr>
                <w:rFonts w:cs="Times New Roman"/>
                <w:i/>
                <w:color w:val="000000"/>
                <w:sz w:val="20"/>
                <w:szCs w:val="20"/>
              </w:rPr>
              <w:t>KRN:</w:t>
            </w:r>
          </w:p>
        </w:tc>
      </w:tr>
      <w:tr w:rsidR="000350C5" w:rsidRPr="006A58E0" w:rsidTr="00482C75">
        <w:trPr>
          <w:trHeight w:val="650"/>
        </w:trPr>
        <w:tc>
          <w:tcPr>
            <w:tcW w:w="182" w:type="pct"/>
            <w:vMerge/>
          </w:tcPr>
          <w:p w:rsidR="000350C5" w:rsidRDefault="000350C5" w:rsidP="00D85E98">
            <w:pPr>
              <w:rPr>
                <w:sz w:val="20"/>
                <w:szCs w:val="20"/>
              </w:rPr>
            </w:pPr>
          </w:p>
        </w:tc>
        <w:tc>
          <w:tcPr>
            <w:tcW w:w="608" w:type="pct"/>
            <w:vMerge/>
          </w:tcPr>
          <w:p w:rsidR="000350C5" w:rsidRPr="001742FF" w:rsidRDefault="000350C5" w:rsidP="00D85E98">
            <w:pPr>
              <w:rPr>
                <w:b/>
                <w:sz w:val="20"/>
                <w:szCs w:val="20"/>
              </w:rPr>
            </w:pPr>
          </w:p>
        </w:tc>
        <w:tc>
          <w:tcPr>
            <w:tcW w:w="301" w:type="pct"/>
          </w:tcPr>
          <w:p w:rsidR="000350C5" w:rsidRDefault="000350C5" w:rsidP="00E3381C">
            <w:pPr>
              <w:spacing w:line="276" w:lineRule="auto"/>
              <w:jc w:val="both"/>
              <w:rPr>
                <w:rFonts w:cs="Times New Roman"/>
                <w:color w:val="000000"/>
                <w:sz w:val="20"/>
                <w:szCs w:val="20"/>
              </w:rPr>
            </w:pPr>
            <w:r>
              <w:rPr>
                <w:rFonts w:cs="Times New Roman"/>
                <w:color w:val="000000"/>
                <w:sz w:val="20"/>
                <w:szCs w:val="20"/>
              </w:rPr>
              <w:t>2a</w:t>
            </w:r>
          </w:p>
        </w:tc>
        <w:tc>
          <w:tcPr>
            <w:tcW w:w="1453" w:type="pct"/>
          </w:tcPr>
          <w:p w:rsidR="000350C5" w:rsidRPr="001742FF" w:rsidRDefault="000350C5" w:rsidP="001742FF">
            <w:pPr>
              <w:spacing w:line="276" w:lineRule="auto"/>
              <w:jc w:val="both"/>
              <w:rPr>
                <w:rFonts w:cs="Times New Roman"/>
                <w:color w:val="000000"/>
                <w:sz w:val="20"/>
                <w:szCs w:val="20"/>
              </w:rPr>
            </w:pPr>
            <w:r w:rsidRPr="001742FF">
              <w:rPr>
                <w:rFonts w:cs="Times New Roman"/>
                <w:color w:val="000000"/>
                <w:sz w:val="20"/>
                <w:szCs w:val="20"/>
              </w:rPr>
              <w:t>Reali</w:t>
            </w:r>
            <w:r w:rsidR="005B3B35">
              <w:rPr>
                <w:rFonts w:cs="Times New Roman"/>
                <w:color w:val="000000"/>
                <w:sz w:val="20"/>
                <w:szCs w:val="20"/>
              </w:rPr>
              <w:t>zacja obowiązków wynikających z </w:t>
            </w:r>
            <w:r>
              <w:rPr>
                <w:rFonts w:cs="Times New Roman"/>
                <w:color w:val="000000"/>
                <w:sz w:val="20"/>
                <w:szCs w:val="20"/>
              </w:rPr>
              <w:t>wykonywania</w:t>
            </w:r>
            <w:r w:rsidRPr="001742FF">
              <w:rPr>
                <w:rFonts w:cs="Times New Roman"/>
                <w:color w:val="000000"/>
                <w:sz w:val="20"/>
                <w:szCs w:val="20"/>
              </w:rPr>
              <w:t xml:space="preserve"> zadań nałożonych rozporządzeniem 2016/1191 nie powinna obciążać finansowo samorządu notarialnego.</w:t>
            </w:r>
          </w:p>
        </w:tc>
        <w:tc>
          <w:tcPr>
            <w:tcW w:w="2456" w:type="pct"/>
          </w:tcPr>
          <w:p w:rsidR="000350C5" w:rsidRPr="001742FF" w:rsidRDefault="000350C5" w:rsidP="005B3B35">
            <w:pPr>
              <w:jc w:val="both"/>
              <w:rPr>
                <w:sz w:val="20"/>
              </w:rPr>
            </w:pPr>
            <w:r w:rsidRPr="00C34EF4">
              <w:rPr>
                <w:b/>
                <w:sz w:val="20"/>
                <w:szCs w:val="20"/>
              </w:rPr>
              <w:t xml:space="preserve">Uwaga </w:t>
            </w:r>
            <w:r>
              <w:rPr>
                <w:b/>
                <w:sz w:val="20"/>
                <w:szCs w:val="20"/>
              </w:rPr>
              <w:t>nie</w:t>
            </w:r>
            <w:r w:rsidRPr="00C34EF4">
              <w:rPr>
                <w:b/>
                <w:sz w:val="20"/>
                <w:szCs w:val="20"/>
              </w:rPr>
              <w:t>uwzględniona</w:t>
            </w:r>
            <w:r>
              <w:rPr>
                <w:b/>
                <w:sz w:val="20"/>
                <w:szCs w:val="20"/>
              </w:rPr>
              <w:t xml:space="preserve"> </w:t>
            </w:r>
            <w:r w:rsidRPr="00361D5A">
              <w:rPr>
                <w:sz w:val="20"/>
                <w:szCs w:val="20"/>
              </w:rPr>
              <w:t>–</w:t>
            </w:r>
            <w:r>
              <w:rPr>
                <w:b/>
                <w:sz w:val="20"/>
                <w:szCs w:val="20"/>
              </w:rPr>
              <w:t xml:space="preserve">  </w:t>
            </w:r>
            <w:r w:rsidRPr="001742FF">
              <w:rPr>
                <w:sz w:val="20"/>
                <w:szCs w:val="20"/>
              </w:rPr>
              <w:t xml:space="preserve">Należy </w:t>
            </w:r>
            <w:r>
              <w:rPr>
                <w:sz w:val="20"/>
                <w:szCs w:val="20"/>
              </w:rPr>
              <w:t>po</w:t>
            </w:r>
            <w:r w:rsidR="005B3B35">
              <w:rPr>
                <w:sz w:val="20"/>
                <w:szCs w:val="20"/>
              </w:rPr>
              <w:t>dzielić argumentację wskazaną w </w:t>
            </w:r>
            <w:r>
              <w:rPr>
                <w:sz w:val="20"/>
                <w:szCs w:val="20"/>
              </w:rPr>
              <w:t>odpowiedzi na uwagę 1.f</w:t>
            </w:r>
            <w:r w:rsidRPr="001742FF">
              <w:rPr>
                <w:sz w:val="20"/>
                <w:szCs w:val="20"/>
              </w:rPr>
              <w:t>.</w:t>
            </w:r>
          </w:p>
          <w:p w:rsidR="000350C5" w:rsidRPr="00C34EF4" w:rsidRDefault="000350C5" w:rsidP="001742FF">
            <w:pPr>
              <w:rPr>
                <w:b/>
                <w:sz w:val="20"/>
                <w:szCs w:val="20"/>
              </w:rPr>
            </w:pPr>
          </w:p>
        </w:tc>
      </w:tr>
      <w:tr w:rsidR="008A0DCC" w:rsidRPr="006A58E0" w:rsidTr="008A0DCC">
        <w:trPr>
          <w:trHeight w:val="256"/>
        </w:trPr>
        <w:tc>
          <w:tcPr>
            <w:tcW w:w="182" w:type="pct"/>
            <w:vMerge w:val="restart"/>
          </w:tcPr>
          <w:p w:rsidR="008A0DCC" w:rsidRDefault="008A0DCC" w:rsidP="00D85E98">
            <w:pPr>
              <w:rPr>
                <w:sz w:val="20"/>
                <w:szCs w:val="20"/>
              </w:rPr>
            </w:pPr>
            <w:r>
              <w:rPr>
                <w:sz w:val="20"/>
                <w:szCs w:val="20"/>
              </w:rPr>
              <w:t xml:space="preserve">3. </w:t>
            </w: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D85E98">
            <w:pPr>
              <w:rPr>
                <w:sz w:val="20"/>
                <w:szCs w:val="20"/>
              </w:rPr>
            </w:pPr>
          </w:p>
          <w:p w:rsidR="008A0DCC" w:rsidRDefault="008A0DCC" w:rsidP="008A0DCC">
            <w:pPr>
              <w:rPr>
                <w:sz w:val="20"/>
                <w:szCs w:val="20"/>
              </w:rPr>
            </w:pPr>
          </w:p>
        </w:tc>
        <w:tc>
          <w:tcPr>
            <w:tcW w:w="608" w:type="pct"/>
            <w:vMerge w:val="restart"/>
          </w:tcPr>
          <w:p w:rsidR="008A0DCC" w:rsidRDefault="008A0DCC" w:rsidP="00D85E98">
            <w:pPr>
              <w:rPr>
                <w:b/>
                <w:sz w:val="20"/>
                <w:szCs w:val="20"/>
              </w:rPr>
            </w:pPr>
            <w:r w:rsidRPr="00553652">
              <w:rPr>
                <w:b/>
                <w:sz w:val="20"/>
                <w:szCs w:val="20"/>
              </w:rPr>
              <w:lastRenderedPageBreak/>
              <w:t>Prezes Rady Izby Notarialnej w Krakowie</w:t>
            </w: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553652">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8A0DCC">
            <w:pPr>
              <w:rPr>
                <w:b/>
                <w:sz w:val="20"/>
                <w:szCs w:val="20"/>
              </w:rPr>
            </w:pPr>
          </w:p>
          <w:p w:rsidR="008A0DCC" w:rsidRDefault="008A0DCC" w:rsidP="00D622E4">
            <w:pPr>
              <w:rPr>
                <w:b/>
                <w:sz w:val="20"/>
                <w:szCs w:val="20"/>
              </w:rPr>
            </w:pPr>
          </w:p>
        </w:tc>
        <w:tc>
          <w:tcPr>
            <w:tcW w:w="4210" w:type="pct"/>
            <w:gridSpan w:val="3"/>
          </w:tcPr>
          <w:p w:rsidR="008A0DCC" w:rsidRPr="006A58E0" w:rsidRDefault="008A0DCC" w:rsidP="000350C5">
            <w:pPr>
              <w:jc w:val="center"/>
              <w:rPr>
                <w:b/>
                <w:sz w:val="20"/>
                <w:szCs w:val="20"/>
              </w:rPr>
            </w:pPr>
            <w:r w:rsidRPr="00D52E96">
              <w:rPr>
                <w:i/>
                <w:sz w:val="20"/>
                <w:szCs w:val="20"/>
              </w:rPr>
              <w:lastRenderedPageBreak/>
              <w:t>Uwag</w:t>
            </w:r>
            <w:r>
              <w:rPr>
                <w:i/>
                <w:sz w:val="20"/>
                <w:szCs w:val="20"/>
              </w:rPr>
              <w:t>i</w:t>
            </w:r>
            <w:r w:rsidRPr="00D52E96">
              <w:rPr>
                <w:i/>
                <w:sz w:val="20"/>
                <w:szCs w:val="20"/>
              </w:rPr>
              <w:t xml:space="preserve"> zgłoszon</w:t>
            </w:r>
            <w:r>
              <w:rPr>
                <w:i/>
                <w:sz w:val="20"/>
                <w:szCs w:val="20"/>
              </w:rPr>
              <w:t>e</w:t>
            </w:r>
            <w:r w:rsidRPr="00D52E96">
              <w:rPr>
                <w:i/>
                <w:sz w:val="20"/>
                <w:szCs w:val="20"/>
              </w:rPr>
              <w:t xml:space="preserve"> poza  poparciem wyrażonym względem stanowiska KRN:</w:t>
            </w:r>
          </w:p>
        </w:tc>
      </w:tr>
      <w:tr w:rsidR="008A0DCC" w:rsidRPr="006A58E0" w:rsidTr="00482C75">
        <w:trPr>
          <w:trHeight w:val="120"/>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8A0DCC" w:rsidP="008D151C">
            <w:pPr>
              <w:spacing w:line="276" w:lineRule="auto"/>
              <w:jc w:val="both"/>
              <w:rPr>
                <w:sz w:val="20"/>
                <w:szCs w:val="20"/>
              </w:rPr>
            </w:pPr>
            <w:r>
              <w:rPr>
                <w:sz w:val="20"/>
                <w:szCs w:val="20"/>
              </w:rPr>
              <w:t>3a</w:t>
            </w:r>
          </w:p>
        </w:tc>
        <w:tc>
          <w:tcPr>
            <w:tcW w:w="1453" w:type="pct"/>
          </w:tcPr>
          <w:p w:rsidR="008A0DCC" w:rsidRDefault="008A0DCC" w:rsidP="008D151C">
            <w:pPr>
              <w:spacing w:line="276" w:lineRule="auto"/>
              <w:jc w:val="both"/>
              <w:rPr>
                <w:sz w:val="20"/>
                <w:szCs w:val="20"/>
              </w:rPr>
            </w:pPr>
            <w:r>
              <w:rPr>
                <w:sz w:val="20"/>
                <w:szCs w:val="20"/>
              </w:rPr>
              <w:t>Prezes rady izby notarialnej nie posiada wz</w:t>
            </w:r>
            <w:r w:rsidR="005B3B35">
              <w:rPr>
                <w:sz w:val="20"/>
                <w:szCs w:val="20"/>
              </w:rPr>
              <w:t>ględem notariuszy kompetencji o </w:t>
            </w:r>
            <w:r>
              <w:rPr>
                <w:sz w:val="20"/>
                <w:szCs w:val="20"/>
              </w:rPr>
              <w:t>charakt</w:t>
            </w:r>
            <w:r w:rsidR="006D5B97">
              <w:rPr>
                <w:sz w:val="20"/>
                <w:szCs w:val="20"/>
              </w:rPr>
              <w:t>erze nadzorczym i kontrolnym, a </w:t>
            </w:r>
            <w:r>
              <w:rPr>
                <w:sz w:val="20"/>
                <w:szCs w:val="20"/>
              </w:rPr>
              <w:t>gdyby doszło do wyznaczenia koordynatorami delegowanymi przedstawicieli notariatu, odpowiedniejszym byłoby wyznaczenie do realizacji tych</w:t>
            </w:r>
            <w:r w:rsidR="004606A4">
              <w:rPr>
                <w:sz w:val="20"/>
                <w:szCs w:val="20"/>
              </w:rPr>
              <w:t xml:space="preserve"> </w:t>
            </w:r>
            <w:r>
              <w:rPr>
                <w:sz w:val="20"/>
                <w:szCs w:val="20"/>
              </w:rPr>
              <w:t xml:space="preserve">zadań okręgowych rad notarialnych. </w:t>
            </w:r>
          </w:p>
          <w:p w:rsidR="008A0DCC" w:rsidRDefault="008A0DCC" w:rsidP="008D151C">
            <w:pPr>
              <w:spacing w:line="276" w:lineRule="auto"/>
              <w:jc w:val="both"/>
              <w:rPr>
                <w:sz w:val="20"/>
                <w:szCs w:val="20"/>
              </w:rPr>
            </w:pPr>
          </w:p>
        </w:tc>
        <w:tc>
          <w:tcPr>
            <w:tcW w:w="2456" w:type="pct"/>
          </w:tcPr>
          <w:p w:rsidR="00EE63ED" w:rsidRDefault="008A0DCC" w:rsidP="00D069B2">
            <w:pPr>
              <w:jc w:val="both"/>
              <w:rPr>
                <w:rFonts w:cstheme="minorHAnsi"/>
                <w:sz w:val="20"/>
                <w:szCs w:val="20"/>
              </w:rPr>
            </w:pPr>
            <w:r w:rsidRPr="00361D5A">
              <w:rPr>
                <w:rFonts w:cstheme="minorHAnsi"/>
                <w:b/>
                <w:sz w:val="20"/>
                <w:szCs w:val="20"/>
              </w:rPr>
              <w:t xml:space="preserve">Uwaga nieuwzględniona – </w:t>
            </w:r>
            <w:r w:rsidRPr="00361D5A">
              <w:rPr>
                <w:rFonts w:cstheme="minorHAnsi"/>
                <w:sz w:val="20"/>
                <w:szCs w:val="20"/>
              </w:rPr>
              <w:t>Zgodnie z treścią art. 1</w:t>
            </w:r>
            <w:r w:rsidRPr="00361D5A">
              <w:rPr>
                <w:rFonts w:cstheme="minorHAnsi"/>
                <w:color w:val="000000"/>
                <w:sz w:val="20"/>
                <w:szCs w:val="20"/>
              </w:rPr>
              <w:t>2 ust. 5 us</w:t>
            </w:r>
            <w:r>
              <w:rPr>
                <w:rFonts w:cstheme="minorHAnsi"/>
                <w:color w:val="000000"/>
                <w:sz w:val="20"/>
                <w:szCs w:val="20"/>
              </w:rPr>
              <w:t xml:space="preserve">tawy implementującej, </w:t>
            </w:r>
            <w:r w:rsidRPr="00361D5A">
              <w:rPr>
                <w:rFonts w:cstheme="minorHAnsi"/>
                <w:i/>
                <w:sz w:val="20"/>
                <w:szCs w:val="20"/>
              </w:rPr>
              <w:t xml:space="preserve">koordynatora delegowanego wyznacza się spośród </w:t>
            </w:r>
            <w:r>
              <w:rPr>
                <w:rFonts w:cstheme="minorHAnsi"/>
                <w:sz w:val="20"/>
                <w:szCs w:val="20"/>
              </w:rPr>
              <w:t>(…)</w:t>
            </w:r>
            <w:r w:rsidRPr="00361D5A">
              <w:rPr>
                <w:rFonts w:cstheme="minorHAnsi"/>
                <w:sz w:val="20"/>
                <w:szCs w:val="20"/>
              </w:rPr>
              <w:t xml:space="preserve"> </w:t>
            </w:r>
            <w:r w:rsidRPr="00361D5A">
              <w:rPr>
                <w:rFonts w:cstheme="minorHAnsi"/>
                <w:i/>
                <w:sz w:val="20"/>
                <w:szCs w:val="20"/>
              </w:rPr>
              <w:t>jednostek organizacyjnych, samorządów zawodowych posiadających wynikające z odrębnych przepisów kompetencje o charakterze kontrolnym lub nadzorczym wobec organów wydających dokumenty urzędowe, o których mowa w art. 2, lub przyjmujących dokumenty urzędowe, o których mowa w art. 2 rozporządzenia 2016/1191.</w:t>
            </w:r>
            <w:r>
              <w:rPr>
                <w:rFonts w:cstheme="minorHAnsi"/>
                <w:sz w:val="20"/>
                <w:szCs w:val="20"/>
              </w:rPr>
              <w:t xml:space="preserve"> Prezesi rad izb notarialnych znajdują się w strukturze samorządu notarialnego, będącego samorządem zawodowym przywołanym w treści przepisu upoważniającego do wydania </w:t>
            </w:r>
            <w:r w:rsidR="00EE63ED">
              <w:rPr>
                <w:rFonts w:cstheme="minorHAnsi"/>
                <w:sz w:val="20"/>
                <w:szCs w:val="20"/>
              </w:rPr>
              <w:t>projektowanego rozporządzenia.</w:t>
            </w:r>
          </w:p>
          <w:p w:rsidR="008A0DCC" w:rsidRDefault="008A0DCC" w:rsidP="00D069B2">
            <w:pPr>
              <w:jc w:val="both"/>
              <w:rPr>
                <w:rFonts w:cstheme="minorHAnsi"/>
                <w:sz w:val="20"/>
                <w:szCs w:val="20"/>
              </w:rPr>
            </w:pPr>
            <w:r>
              <w:rPr>
                <w:rFonts w:cstheme="minorHAnsi"/>
                <w:sz w:val="20"/>
                <w:szCs w:val="20"/>
              </w:rPr>
              <w:t xml:space="preserve">W toku prac nad projektem rozporządzenia rozpatrywano możliwość wyznaczenia rad izb notarialnych jako koordynatorów delegowanych. Rada ta zgodnie art. 35 pkt 5 i 7 </w:t>
            </w:r>
            <w:proofErr w:type="spellStart"/>
            <w:r>
              <w:rPr>
                <w:rFonts w:cstheme="minorHAnsi"/>
                <w:sz w:val="20"/>
                <w:szCs w:val="20"/>
              </w:rPr>
              <w:t>u.p.n</w:t>
            </w:r>
            <w:proofErr w:type="spellEnd"/>
            <w:r>
              <w:rPr>
                <w:rFonts w:cstheme="minorHAnsi"/>
                <w:sz w:val="20"/>
                <w:szCs w:val="20"/>
              </w:rPr>
              <w:t xml:space="preserve">.  sprawuje </w:t>
            </w:r>
            <w:r w:rsidRPr="002A2B22">
              <w:rPr>
                <w:rFonts w:cstheme="minorHAnsi"/>
                <w:sz w:val="20"/>
                <w:szCs w:val="20"/>
              </w:rPr>
              <w:t>nadzór nad wykonywaniem obowiązków przez notariuszy, zastępców notarialnych i aplikantów notarialnych oraz nad przestrzeganiem przez nich powagi i go</w:t>
            </w:r>
            <w:r>
              <w:rPr>
                <w:rFonts w:cstheme="minorHAnsi"/>
                <w:sz w:val="20"/>
                <w:szCs w:val="20"/>
              </w:rPr>
              <w:t xml:space="preserve">dności właściwej dla notariusza oraz </w:t>
            </w:r>
            <w:r w:rsidRPr="00D069B2">
              <w:rPr>
                <w:rFonts w:cstheme="minorHAnsi"/>
                <w:sz w:val="20"/>
                <w:szCs w:val="20"/>
              </w:rPr>
              <w:t>wykon</w:t>
            </w:r>
            <w:r>
              <w:rPr>
                <w:rFonts w:cstheme="minorHAnsi"/>
                <w:sz w:val="20"/>
                <w:szCs w:val="20"/>
              </w:rPr>
              <w:t>uje</w:t>
            </w:r>
            <w:r w:rsidRPr="00D069B2">
              <w:rPr>
                <w:rFonts w:cstheme="minorHAnsi"/>
                <w:sz w:val="20"/>
                <w:szCs w:val="20"/>
              </w:rPr>
              <w:t xml:space="preserve"> inn</w:t>
            </w:r>
            <w:r>
              <w:rPr>
                <w:rFonts w:cstheme="minorHAnsi"/>
                <w:sz w:val="20"/>
                <w:szCs w:val="20"/>
              </w:rPr>
              <w:t>e czynności przewidziane</w:t>
            </w:r>
            <w:r w:rsidRPr="00D069B2">
              <w:rPr>
                <w:rFonts w:cstheme="minorHAnsi"/>
                <w:sz w:val="20"/>
                <w:szCs w:val="20"/>
              </w:rPr>
              <w:t xml:space="preserve"> prawem</w:t>
            </w:r>
            <w:r w:rsidR="005B3B35">
              <w:rPr>
                <w:rFonts w:cstheme="minorHAnsi"/>
                <w:sz w:val="20"/>
                <w:szCs w:val="20"/>
              </w:rPr>
              <w:t>, nie wskazane bezpośrednio w </w:t>
            </w:r>
            <w:proofErr w:type="spellStart"/>
            <w:r>
              <w:rPr>
                <w:rFonts w:cstheme="minorHAnsi"/>
                <w:sz w:val="20"/>
                <w:szCs w:val="20"/>
              </w:rPr>
              <w:t>u.p.n</w:t>
            </w:r>
            <w:proofErr w:type="spellEnd"/>
            <w:r>
              <w:rPr>
                <w:rFonts w:cstheme="minorHAnsi"/>
                <w:sz w:val="20"/>
                <w:szCs w:val="20"/>
              </w:rPr>
              <w:t>. Jednakże z uwagi na kolegialny charakter tego organu jak i okresowe jego zwoływanie, odstąpiono od tej możliwości.</w:t>
            </w:r>
          </w:p>
          <w:p w:rsidR="008A0DCC" w:rsidRPr="00361D5A" w:rsidRDefault="008C2A31" w:rsidP="008C2A31">
            <w:pPr>
              <w:jc w:val="both"/>
              <w:rPr>
                <w:rFonts w:cstheme="minorHAnsi"/>
                <w:sz w:val="20"/>
                <w:szCs w:val="20"/>
              </w:rPr>
            </w:pPr>
            <w:r>
              <w:rPr>
                <w:rFonts w:cstheme="minorHAnsi"/>
                <w:sz w:val="20"/>
                <w:szCs w:val="20"/>
              </w:rPr>
              <w:t>O</w:t>
            </w:r>
            <w:r w:rsidR="008A0DCC">
              <w:rPr>
                <w:rFonts w:cstheme="minorHAnsi"/>
                <w:sz w:val="20"/>
                <w:szCs w:val="20"/>
              </w:rPr>
              <w:t>dpowiednim pozostaje wyznaczenie do realizacji zadań koordynatora delegowan</w:t>
            </w:r>
            <w:r>
              <w:rPr>
                <w:rFonts w:cstheme="minorHAnsi"/>
                <w:sz w:val="20"/>
                <w:szCs w:val="20"/>
              </w:rPr>
              <w:t>ego</w:t>
            </w:r>
            <w:r w:rsidR="008A0DCC">
              <w:rPr>
                <w:rFonts w:cstheme="minorHAnsi"/>
                <w:sz w:val="20"/>
                <w:szCs w:val="20"/>
              </w:rPr>
              <w:t xml:space="preserve"> p</w:t>
            </w:r>
            <w:r w:rsidR="008A0DCC" w:rsidRPr="00FA4A4C">
              <w:rPr>
                <w:rFonts w:cstheme="minorHAnsi"/>
                <w:sz w:val="20"/>
                <w:szCs w:val="20"/>
              </w:rPr>
              <w:t>rezes</w:t>
            </w:r>
            <w:r w:rsidR="008A0DCC">
              <w:rPr>
                <w:rFonts w:cstheme="minorHAnsi"/>
                <w:sz w:val="20"/>
                <w:szCs w:val="20"/>
              </w:rPr>
              <w:t>a</w:t>
            </w:r>
            <w:r w:rsidR="008A0DCC" w:rsidRPr="00FA4A4C">
              <w:rPr>
                <w:rFonts w:cstheme="minorHAnsi"/>
                <w:sz w:val="20"/>
                <w:szCs w:val="20"/>
              </w:rPr>
              <w:t xml:space="preserve"> rady izby notarialnej</w:t>
            </w:r>
            <w:r w:rsidR="008A0DCC">
              <w:rPr>
                <w:rFonts w:cstheme="minorHAnsi"/>
                <w:sz w:val="20"/>
                <w:szCs w:val="20"/>
              </w:rPr>
              <w:t>, reprezentującego radę, kierującego jej pracami oraz przewodniczącego na posiedzeniach i wykonującego jej</w:t>
            </w:r>
            <w:r w:rsidR="008A0DCC" w:rsidRPr="00FA4A4C">
              <w:rPr>
                <w:rFonts w:cstheme="minorHAnsi"/>
                <w:sz w:val="20"/>
                <w:szCs w:val="20"/>
              </w:rPr>
              <w:t xml:space="preserve"> </w:t>
            </w:r>
            <w:r w:rsidR="008A0DCC">
              <w:rPr>
                <w:rFonts w:cstheme="minorHAnsi"/>
                <w:sz w:val="20"/>
                <w:szCs w:val="20"/>
              </w:rPr>
              <w:t xml:space="preserve">uchwały rady (art. 34 </w:t>
            </w:r>
            <w:r w:rsidR="008A0DCC">
              <w:rPr>
                <w:rFonts w:ascii="Arial" w:hAnsi="Arial" w:cs="Arial"/>
                <w:sz w:val="20"/>
                <w:szCs w:val="20"/>
              </w:rPr>
              <w:t>§</w:t>
            </w:r>
            <w:r w:rsidR="008A0DCC">
              <w:rPr>
                <w:rFonts w:cstheme="minorHAnsi"/>
                <w:sz w:val="20"/>
                <w:szCs w:val="20"/>
              </w:rPr>
              <w:t xml:space="preserve"> 1 </w:t>
            </w:r>
            <w:proofErr w:type="spellStart"/>
            <w:r w:rsidR="008A0DCC">
              <w:rPr>
                <w:rFonts w:cstheme="minorHAnsi"/>
                <w:sz w:val="20"/>
                <w:szCs w:val="20"/>
              </w:rPr>
              <w:t>u.p.n</w:t>
            </w:r>
            <w:proofErr w:type="spellEnd"/>
            <w:r w:rsidR="008A0DCC">
              <w:rPr>
                <w:rFonts w:cstheme="minorHAnsi"/>
                <w:sz w:val="20"/>
                <w:szCs w:val="20"/>
              </w:rPr>
              <w:t>.). jak wskazano wyżej, pozostaje to zgodne z delegacją z art. 12 ust. 5 ustawy implementującej.</w:t>
            </w:r>
          </w:p>
        </w:tc>
      </w:tr>
      <w:tr w:rsidR="008A0DCC" w:rsidRPr="006A58E0" w:rsidTr="00482C75">
        <w:trPr>
          <w:trHeight w:val="120"/>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8A0DCC" w:rsidP="00665FD7">
            <w:pPr>
              <w:spacing w:line="276" w:lineRule="auto"/>
              <w:jc w:val="both"/>
              <w:rPr>
                <w:sz w:val="20"/>
                <w:szCs w:val="20"/>
              </w:rPr>
            </w:pPr>
            <w:r>
              <w:rPr>
                <w:sz w:val="20"/>
                <w:szCs w:val="20"/>
              </w:rPr>
              <w:t>3b</w:t>
            </w:r>
          </w:p>
          <w:p w:rsidR="008A0DCC" w:rsidRDefault="008A0DCC" w:rsidP="00665FD7">
            <w:pPr>
              <w:spacing w:line="276" w:lineRule="auto"/>
              <w:jc w:val="both"/>
              <w:rPr>
                <w:sz w:val="20"/>
                <w:szCs w:val="20"/>
              </w:rPr>
            </w:pPr>
          </w:p>
        </w:tc>
        <w:tc>
          <w:tcPr>
            <w:tcW w:w="1453" w:type="pct"/>
          </w:tcPr>
          <w:p w:rsidR="008A0DCC" w:rsidRPr="00C45FCD" w:rsidRDefault="008A0DCC" w:rsidP="00665FD7">
            <w:pPr>
              <w:spacing w:line="276" w:lineRule="auto"/>
              <w:jc w:val="both"/>
              <w:rPr>
                <w:sz w:val="20"/>
                <w:szCs w:val="20"/>
              </w:rPr>
            </w:pPr>
            <w:r w:rsidRPr="00C45FCD">
              <w:rPr>
                <w:sz w:val="20"/>
                <w:szCs w:val="20"/>
              </w:rPr>
              <w:t xml:space="preserve">Istnieje koniecznością oszacowania kosztów niezbędnych do ich wykonania i przewidzenie źródła finansowania: zorganizowania i </w:t>
            </w:r>
            <w:r w:rsidRPr="00C45FCD">
              <w:rPr>
                <w:bCs/>
                <w:sz w:val="20"/>
                <w:szCs w:val="20"/>
              </w:rPr>
              <w:t xml:space="preserve">pokrycia kosztów przez Ministerstwo Sprawiedliwości odpowiednich szkoleń oraz wsparcie w zakresie dotyczącym obsługi teleinformatycznego Systemu Wymiany Informacji na Rynku </w:t>
            </w:r>
            <w:r w:rsidRPr="00C45FCD">
              <w:rPr>
                <w:bCs/>
                <w:sz w:val="20"/>
                <w:szCs w:val="20"/>
              </w:rPr>
              <w:lastRenderedPageBreak/>
              <w:t>Wewnętrznym (IMI)</w:t>
            </w:r>
            <w:r>
              <w:rPr>
                <w:bCs/>
                <w:sz w:val="20"/>
                <w:szCs w:val="20"/>
              </w:rPr>
              <w:t xml:space="preserve">. </w:t>
            </w:r>
          </w:p>
        </w:tc>
        <w:tc>
          <w:tcPr>
            <w:tcW w:w="2456" w:type="pct"/>
          </w:tcPr>
          <w:p w:rsidR="008A0DCC" w:rsidRDefault="008A0DCC" w:rsidP="00854ECF">
            <w:pPr>
              <w:jc w:val="both"/>
              <w:rPr>
                <w:sz w:val="20"/>
                <w:szCs w:val="20"/>
              </w:rPr>
            </w:pPr>
            <w:r w:rsidRPr="006A58E0">
              <w:rPr>
                <w:b/>
                <w:sz w:val="20"/>
                <w:szCs w:val="20"/>
              </w:rPr>
              <w:lastRenderedPageBreak/>
              <w:t xml:space="preserve">Uwaga </w:t>
            </w:r>
            <w:r>
              <w:rPr>
                <w:b/>
                <w:sz w:val="20"/>
                <w:szCs w:val="20"/>
              </w:rPr>
              <w:t>nie</w:t>
            </w:r>
            <w:r w:rsidRPr="006A58E0">
              <w:rPr>
                <w:b/>
                <w:sz w:val="20"/>
                <w:szCs w:val="20"/>
              </w:rPr>
              <w:t>uwzględniona</w:t>
            </w:r>
            <w:r>
              <w:rPr>
                <w:b/>
                <w:sz w:val="20"/>
                <w:szCs w:val="20"/>
              </w:rPr>
              <w:t xml:space="preserve"> –</w:t>
            </w:r>
            <w:r>
              <w:rPr>
                <w:sz w:val="20"/>
                <w:szCs w:val="20"/>
              </w:rPr>
              <w:t xml:space="preserve"> W przedmiocie kosztów wykonywania zadań swą aktualność zachowuje komentarz do uwagi 1f. </w:t>
            </w:r>
          </w:p>
          <w:p w:rsidR="008A0DCC" w:rsidRPr="0076640E" w:rsidRDefault="008A0DCC" w:rsidP="00D9449B">
            <w:pPr>
              <w:jc w:val="both"/>
              <w:rPr>
                <w:bCs/>
                <w:sz w:val="20"/>
                <w:szCs w:val="20"/>
              </w:rPr>
            </w:pPr>
            <w:r>
              <w:rPr>
                <w:sz w:val="20"/>
                <w:szCs w:val="20"/>
              </w:rPr>
              <w:t xml:space="preserve">Odnośnie korzystania z systemu IMI, podstawowe informacje dotyczące systemu zawarte są na prowadzonej przez Komisję Europejską stronie internetowej </w:t>
            </w:r>
            <w:hyperlink r:id="rId9" w:history="1">
              <w:r w:rsidRPr="00D10E2E">
                <w:rPr>
                  <w:rStyle w:val="Hipercze"/>
                  <w:sz w:val="20"/>
                  <w:szCs w:val="20"/>
                </w:rPr>
                <w:t xml:space="preserve">https://ec.europa.eu/ </w:t>
              </w:r>
              <w:proofErr w:type="spellStart"/>
              <w:r w:rsidRPr="00D10E2E">
                <w:rPr>
                  <w:rStyle w:val="Hipercze"/>
                  <w:sz w:val="20"/>
                  <w:szCs w:val="20"/>
                </w:rPr>
                <w:t>internal_market</w:t>
              </w:r>
              <w:proofErr w:type="spellEnd"/>
              <w:r w:rsidRPr="00D10E2E">
                <w:rPr>
                  <w:rStyle w:val="Hipercze"/>
                  <w:sz w:val="20"/>
                  <w:szCs w:val="20"/>
                </w:rPr>
                <w:t>/</w:t>
              </w:r>
              <w:proofErr w:type="spellStart"/>
              <w:r w:rsidRPr="00D10E2E">
                <w:rPr>
                  <w:rStyle w:val="Hipercze"/>
                  <w:sz w:val="20"/>
                  <w:szCs w:val="20"/>
                </w:rPr>
                <w:t>imi</w:t>
              </w:r>
              <w:proofErr w:type="spellEnd"/>
              <w:r w:rsidRPr="00D10E2E">
                <w:rPr>
                  <w:rStyle w:val="Hipercze"/>
                  <w:sz w:val="20"/>
                  <w:szCs w:val="20"/>
                </w:rPr>
                <w:t>-net/</w:t>
              </w:r>
              <w:proofErr w:type="spellStart"/>
              <w:r w:rsidRPr="00D10E2E">
                <w:rPr>
                  <w:rStyle w:val="Hipercze"/>
                  <w:sz w:val="20"/>
                  <w:szCs w:val="20"/>
                </w:rPr>
                <w:t>using_imi</w:t>
              </w:r>
              <w:proofErr w:type="spellEnd"/>
              <w:r w:rsidRPr="00D10E2E">
                <w:rPr>
                  <w:rStyle w:val="Hipercze"/>
                  <w:sz w:val="20"/>
                  <w:szCs w:val="20"/>
                </w:rPr>
                <w:t>/index_pl.htm</w:t>
              </w:r>
            </w:hyperlink>
            <w:r>
              <w:rPr>
                <w:sz w:val="20"/>
                <w:szCs w:val="20"/>
              </w:rPr>
              <w:t xml:space="preserve">. Zadania realizowane przez koordynatorów są określone w treści rozporządzenia 2016/1191 i aktów implementujących jego postanowienia do polskiego porządku prawnego. Podczas spotkania Komitetu </w:t>
            </w:r>
            <w:r w:rsidRPr="00C45FCD">
              <w:rPr>
                <w:bCs/>
                <w:i/>
                <w:sz w:val="20"/>
                <w:szCs w:val="20"/>
              </w:rPr>
              <w:t xml:space="preserve">ad hoc </w:t>
            </w:r>
            <w:r w:rsidRPr="00C45FCD">
              <w:rPr>
                <w:bCs/>
                <w:sz w:val="20"/>
                <w:szCs w:val="20"/>
              </w:rPr>
              <w:t xml:space="preserve">do spraw dokumentów urzędowych w dniu 17 </w:t>
            </w:r>
            <w:r w:rsidRPr="00C45FCD">
              <w:rPr>
                <w:bCs/>
                <w:sz w:val="20"/>
                <w:szCs w:val="20"/>
              </w:rPr>
              <w:lastRenderedPageBreak/>
              <w:t>września 2019 r</w:t>
            </w:r>
            <w:r>
              <w:rPr>
                <w:bCs/>
                <w:sz w:val="20"/>
                <w:szCs w:val="20"/>
              </w:rPr>
              <w:t xml:space="preserve">. przedstawiciele Komisji Europejskiej </w:t>
            </w:r>
            <w:r w:rsidR="00D9449B">
              <w:rPr>
                <w:bCs/>
                <w:sz w:val="20"/>
                <w:szCs w:val="20"/>
              </w:rPr>
              <w:t>poinformowal</w:t>
            </w:r>
            <w:r>
              <w:rPr>
                <w:bCs/>
                <w:sz w:val="20"/>
                <w:szCs w:val="20"/>
              </w:rPr>
              <w:t>i, że aktualnie</w:t>
            </w:r>
            <w:r w:rsidR="0076640E">
              <w:rPr>
                <w:bCs/>
                <w:sz w:val="20"/>
                <w:szCs w:val="20"/>
              </w:rPr>
              <w:t xml:space="preserve"> KE przygotowuje</w:t>
            </w:r>
            <w:r>
              <w:rPr>
                <w:bCs/>
                <w:sz w:val="20"/>
                <w:szCs w:val="20"/>
              </w:rPr>
              <w:t xml:space="preserve"> dodatkowe opracowanie dotyczące korzystania w system</w:t>
            </w:r>
            <w:r w:rsidR="00D9449B">
              <w:rPr>
                <w:bCs/>
                <w:sz w:val="20"/>
                <w:szCs w:val="20"/>
              </w:rPr>
              <w:t>ie</w:t>
            </w:r>
            <w:r>
              <w:rPr>
                <w:bCs/>
                <w:sz w:val="20"/>
                <w:szCs w:val="20"/>
              </w:rPr>
              <w:t xml:space="preserve"> IMI z modułu dokumenty urzędowe. Zapewniono, że takie opracowanie zostanie przetłumaczone na wszystkie języki urzędowe państw członkowskich UE. Rejestracj</w:t>
            </w:r>
            <w:r w:rsidR="0076640E">
              <w:rPr>
                <w:bCs/>
                <w:sz w:val="20"/>
                <w:szCs w:val="20"/>
              </w:rPr>
              <w:t>a</w:t>
            </w:r>
            <w:r>
              <w:rPr>
                <w:bCs/>
                <w:sz w:val="20"/>
                <w:szCs w:val="20"/>
              </w:rPr>
              <w:t xml:space="preserve"> koordynatorów delegowanych będ</w:t>
            </w:r>
            <w:r w:rsidR="0076640E">
              <w:rPr>
                <w:bCs/>
                <w:sz w:val="20"/>
                <w:szCs w:val="20"/>
              </w:rPr>
              <w:t>zie przeprowadzana</w:t>
            </w:r>
            <w:r>
              <w:rPr>
                <w:bCs/>
                <w:sz w:val="20"/>
                <w:szCs w:val="20"/>
              </w:rPr>
              <w:t xml:space="preserve"> przez wyznaczonych pracowników MS, którzy również będą mogli udzielać koordynatorom podstawowych </w:t>
            </w:r>
            <w:r w:rsidR="0076640E">
              <w:rPr>
                <w:bCs/>
                <w:sz w:val="20"/>
                <w:szCs w:val="20"/>
              </w:rPr>
              <w:t xml:space="preserve">doraźnych </w:t>
            </w:r>
            <w:r>
              <w:rPr>
                <w:bCs/>
                <w:sz w:val="20"/>
                <w:szCs w:val="20"/>
              </w:rPr>
              <w:t>informacji dotyczących systemu IMI.</w:t>
            </w:r>
          </w:p>
        </w:tc>
      </w:tr>
      <w:tr w:rsidR="008A0DCC" w:rsidRPr="006A58E0" w:rsidTr="00482C75">
        <w:trPr>
          <w:trHeight w:val="95"/>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8A0DCC" w:rsidP="00665FD7">
            <w:pPr>
              <w:spacing w:line="276" w:lineRule="auto"/>
              <w:jc w:val="both"/>
              <w:rPr>
                <w:rFonts w:cs="Times New Roman"/>
                <w:sz w:val="20"/>
                <w:szCs w:val="20"/>
              </w:rPr>
            </w:pPr>
            <w:r>
              <w:rPr>
                <w:rFonts w:cs="Times New Roman"/>
                <w:sz w:val="20"/>
                <w:szCs w:val="20"/>
              </w:rPr>
              <w:t>3c</w:t>
            </w:r>
          </w:p>
        </w:tc>
        <w:tc>
          <w:tcPr>
            <w:tcW w:w="1453" w:type="pct"/>
          </w:tcPr>
          <w:p w:rsidR="008A0DCC" w:rsidRDefault="008A0DCC" w:rsidP="00D9449B">
            <w:pPr>
              <w:spacing w:line="276" w:lineRule="auto"/>
              <w:jc w:val="both"/>
              <w:rPr>
                <w:sz w:val="20"/>
                <w:szCs w:val="20"/>
              </w:rPr>
            </w:pPr>
            <w:r>
              <w:rPr>
                <w:rFonts w:cs="Times New Roman"/>
                <w:sz w:val="20"/>
                <w:szCs w:val="20"/>
              </w:rPr>
              <w:t xml:space="preserve"> W </w:t>
            </w:r>
            <w:r w:rsidRPr="00147566">
              <w:rPr>
                <w:rFonts w:cs="Times New Roman"/>
                <w:sz w:val="20"/>
                <w:szCs w:val="20"/>
              </w:rPr>
              <w:t>sytuacji, gdy wniosek nie dotyczy</w:t>
            </w:r>
            <w:r>
              <w:rPr>
                <w:rFonts w:cs="Times New Roman"/>
                <w:sz w:val="20"/>
                <w:szCs w:val="20"/>
              </w:rPr>
              <w:t xml:space="preserve"> </w:t>
            </w:r>
            <w:r w:rsidRPr="00147566">
              <w:rPr>
                <w:rFonts w:cs="Times New Roman"/>
                <w:sz w:val="20"/>
                <w:szCs w:val="20"/>
              </w:rPr>
              <w:t xml:space="preserve"> czynności notarialnych</w:t>
            </w:r>
            <w:r>
              <w:rPr>
                <w:rFonts w:cs="Times New Roman"/>
                <w:sz w:val="20"/>
                <w:szCs w:val="20"/>
              </w:rPr>
              <w:t xml:space="preserve"> zostałby </w:t>
            </w:r>
            <w:r w:rsidRPr="00147566">
              <w:rPr>
                <w:rFonts w:cs="Times New Roman"/>
                <w:sz w:val="20"/>
                <w:szCs w:val="20"/>
              </w:rPr>
              <w:t xml:space="preserve"> omyłkowo skierowany do </w:t>
            </w:r>
            <w:r>
              <w:rPr>
                <w:rFonts w:cs="Times New Roman"/>
                <w:sz w:val="20"/>
                <w:szCs w:val="20"/>
              </w:rPr>
              <w:t xml:space="preserve">prezesa </w:t>
            </w:r>
            <w:proofErr w:type="spellStart"/>
            <w:r>
              <w:rPr>
                <w:rFonts w:cs="Times New Roman"/>
                <w:sz w:val="20"/>
                <w:szCs w:val="20"/>
              </w:rPr>
              <w:t>r.i.n</w:t>
            </w:r>
            <w:proofErr w:type="spellEnd"/>
            <w:r>
              <w:rPr>
                <w:rFonts w:cs="Times New Roman"/>
                <w:sz w:val="20"/>
                <w:szCs w:val="20"/>
              </w:rPr>
              <w:t>.</w:t>
            </w:r>
            <w:r w:rsidRPr="00147566">
              <w:rPr>
                <w:rFonts w:cs="Times New Roman"/>
                <w:sz w:val="20"/>
                <w:szCs w:val="20"/>
              </w:rPr>
              <w:t xml:space="preserve"> zapewne istniałaby ścieżka umożliwiaj</w:t>
            </w:r>
            <w:r>
              <w:rPr>
                <w:rFonts w:cs="Times New Roman"/>
                <w:sz w:val="20"/>
                <w:szCs w:val="20"/>
              </w:rPr>
              <w:t>ąca przekazanie takiego wniosku, lecz  ś</w:t>
            </w:r>
            <w:r w:rsidRPr="00147566">
              <w:rPr>
                <w:rFonts w:cs="Times New Roman"/>
                <w:sz w:val="20"/>
                <w:szCs w:val="20"/>
              </w:rPr>
              <w:t>cie</w:t>
            </w:r>
            <w:r>
              <w:rPr>
                <w:rFonts w:cs="Times New Roman"/>
                <w:sz w:val="20"/>
                <w:szCs w:val="20"/>
              </w:rPr>
              <w:t>żka ta</w:t>
            </w:r>
            <w:r w:rsidR="00D9449B">
              <w:rPr>
                <w:rFonts w:cs="Times New Roman"/>
                <w:sz w:val="20"/>
                <w:szCs w:val="20"/>
              </w:rPr>
              <w:t xml:space="preserve"> nie została jednak wskazana w </w:t>
            </w:r>
            <w:r w:rsidRPr="00147566">
              <w:rPr>
                <w:rFonts w:cs="Times New Roman"/>
                <w:sz w:val="20"/>
                <w:szCs w:val="20"/>
              </w:rPr>
              <w:t xml:space="preserve">żadnych przepisach regulujących tę materię. </w:t>
            </w:r>
            <w:r>
              <w:rPr>
                <w:rFonts w:cs="Times New Roman"/>
                <w:sz w:val="20"/>
                <w:szCs w:val="20"/>
              </w:rPr>
              <w:t>Radom izb notarialnych nie przysługują żadne uprawnienia nadrzędne względem sądów, i nie powinny one być uprawnione do nadawania bądź odbierania im uprawnień do systemu IMI. Przekazywanie wniosków miedzy organami skutkowałoby brakiem dotrzymania terminów przewidzianych rozporządzeniem 2016/1191.</w:t>
            </w:r>
          </w:p>
        </w:tc>
        <w:tc>
          <w:tcPr>
            <w:tcW w:w="2456" w:type="pct"/>
          </w:tcPr>
          <w:p w:rsidR="008A0DCC" w:rsidRDefault="008A0DCC" w:rsidP="00BD33B1">
            <w:pPr>
              <w:jc w:val="both"/>
              <w:rPr>
                <w:bCs/>
                <w:sz w:val="20"/>
                <w:szCs w:val="20"/>
              </w:rPr>
            </w:pPr>
            <w:r w:rsidRPr="006A58E0">
              <w:rPr>
                <w:b/>
                <w:sz w:val="20"/>
                <w:szCs w:val="20"/>
              </w:rPr>
              <w:t xml:space="preserve">Uwaga </w:t>
            </w:r>
            <w:r>
              <w:rPr>
                <w:b/>
                <w:sz w:val="20"/>
                <w:szCs w:val="20"/>
              </w:rPr>
              <w:t>nie</w:t>
            </w:r>
            <w:r w:rsidRPr="006A58E0">
              <w:rPr>
                <w:b/>
                <w:sz w:val="20"/>
                <w:szCs w:val="20"/>
              </w:rPr>
              <w:t>uwzględniona</w:t>
            </w:r>
            <w:r>
              <w:rPr>
                <w:b/>
                <w:sz w:val="20"/>
                <w:szCs w:val="20"/>
              </w:rPr>
              <w:t xml:space="preserve"> – </w:t>
            </w:r>
            <w:r w:rsidRPr="00147566">
              <w:rPr>
                <w:sz w:val="20"/>
                <w:szCs w:val="20"/>
              </w:rPr>
              <w:t>W</w:t>
            </w:r>
            <w:r>
              <w:rPr>
                <w:sz w:val="20"/>
                <w:szCs w:val="20"/>
              </w:rPr>
              <w:t xml:space="preserve"> </w:t>
            </w:r>
            <w:r>
              <w:rPr>
                <w:rFonts w:ascii="Arial" w:hAnsi="Arial" w:cs="Arial"/>
                <w:sz w:val="20"/>
                <w:szCs w:val="20"/>
              </w:rPr>
              <w:t>§</w:t>
            </w:r>
            <w:r w:rsidR="00EE63ED">
              <w:rPr>
                <w:rFonts w:ascii="Arial" w:hAnsi="Arial" w:cs="Arial"/>
                <w:sz w:val="20"/>
                <w:szCs w:val="20"/>
              </w:rPr>
              <w:t xml:space="preserve"> </w:t>
            </w:r>
            <w:r>
              <w:rPr>
                <w:sz w:val="20"/>
                <w:szCs w:val="20"/>
              </w:rPr>
              <w:t>4 pkt 1 projektowanego rozporządzenia przewidziano przyjmowanie i przekazywanie przez koordynatorów</w:t>
            </w:r>
            <w:r w:rsidRPr="00BD33B1">
              <w:rPr>
                <w:sz w:val="20"/>
                <w:szCs w:val="20"/>
              </w:rPr>
              <w:t xml:space="preserve"> wni</w:t>
            </w:r>
            <w:r w:rsidR="00D9449B">
              <w:rPr>
                <w:sz w:val="20"/>
                <w:szCs w:val="20"/>
              </w:rPr>
              <w:t>osków</w:t>
            </w:r>
            <w:r>
              <w:rPr>
                <w:sz w:val="20"/>
                <w:szCs w:val="20"/>
              </w:rPr>
              <w:t xml:space="preserve"> o udzielenie informacji, o </w:t>
            </w:r>
            <w:r w:rsidRPr="00BD33B1">
              <w:rPr>
                <w:sz w:val="20"/>
                <w:szCs w:val="20"/>
              </w:rPr>
              <w:t xml:space="preserve">których mowa w art. 14 </w:t>
            </w:r>
            <w:r w:rsidRPr="00BD33B1">
              <w:rPr>
                <w:bCs/>
                <w:sz w:val="20"/>
                <w:szCs w:val="20"/>
              </w:rPr>
              <w:t>rozporządzenia 2016/1191</w:t>
            </w:r>
            <w:r>
              <w:rPr>
                <w:bCs/>
                <w:sz w:val="20"/>
                <w:szCs w:val="20"/>
              </w:rPr>
              <w:t xml:space="preserve">. </w:t>
            </w:r>
            <w:r w:rsidR="00D9449B">
              <w:rPr>
                <w:bCs/>
                <w:sz w:val="20"/>
                <w:szCs w:val="20"/>
              </w:rPr>
              <w:t xml:space="preserve"> Istnieje możliwość przekazania omyłkowo skierowanego wniosku.</w:t>
            </w:r>
          </w:p>
          <w:p w:rsidR="005F55C0" w:rsidRDefault="008A0DCC" w:rsidP="00BD33B1">
            <w:pPr>
              <w:jc w:val="both"/>
              <w:rPr>
                <w:bCs/>
                <w:sz w:val="20"/>
                <w:szCs w:val="20"/>
              </w:rPr>
            </w:pPr>
            <w:r>
              <w:rPr>
                <w:bCs/>
                <w:sz w:val="20"/>
                <w:szCs w:val="20"/>
              </w:rPr>
              <w:t>Należy zauważyć, że w  praktyce wniosek w systemie IMI może zostać skierowany przez wnioskodawcę do jednego z trzech różnych podmiotów. Do organu centralnego, którego skrzynka będzie widoczna w systemie IMI (w przypadku Rzeczpospolitej Polski jest nim Minister Sprawiedliwości ora</w:t>
            </w:r>
            <w:r w:rsidR="00EE63ED">
              <w:rPr>
                <w:bCs/>
                <w:sz w:val="20"/>
                <w:szCs w:val="20"/>
              </w:rPr>
              <w:t>z Minister Spraw Wewnętrznych i </w:t>
            </w:r>
            <w:r>
              <w:rPr>
                <w:bCs/>
                <w:sz w:val="20"/>
                <w:szCs w:val="20"/>
              </w:rPr>
              <w:t>Administracji), do koordynatora delegowanego albo do organu, który wydał dokument będący przedmiotem analizy. Trzecia sytuacja jest modelowa, i ma miejsce, gdy podmiot występujący z zapytaniem zidentyfikował należycie wystawcę</w:t>
            </w:r>
            <w:r w:rsidR="00D9449B">
              <w:rPr>
                <w:bCs/>
                <w:sz w:val="20"/>
                <w:szCs w:val="20"/>
              </w:rPr>
              <w:t xml:space="preserve"> dokumentu, a tenże wystawca, z </w:t>
            </w:r>
            <w:r w:rsidR="008F157D">
              <w:rPr>
                <w:bCs/>
                <w:sz w:val="20"/>
                <w:szCs w:val="20"/>
              </w:rPr>
              <w:t xml:space="preserve">uwagi na </w:t>
            </w:r>
            <w:r>
              <w:rPr>
                <w:bCs/>
                <w:sz w:val="20"/>
                <w:szCs w:val="20"/>
              </w:rPr>
              <w:t>wcześniejsze procedowanie w  module systemu IMI innego dokumentu przez niego wydanego,</w:t>
            </w:r>
            <w:r w:rsidR="00D9449B">
              <w:rPr>
                <w:bCs/>
                <w:sz w:val="20"/>
                <w:szCs w:val="20"/>
              </w:rPr>
              <w:t xml:space="preserve"> figuruje już w systemie IMI</w:t>
            </w:r>
            <w:r w:rsidR="008F157D">
              <w:rPr>
                <w:bCs/>
                <w:sz w:val="20"/>
                <w:szCs w:val="20"/>
              </w:rPr>
              <w:t xml:space="preserve"> (rejestracja organów  tj. sądów i notariuszy ma mieć miejsce </w:t>
            </w:r>
            <w:r w:rsidR="008F157D" w:rsidRPr="004B5E84">
              <w:rPr>
                <w:bCs/>
                <w:i/>
                <w:sz w:val="20"/>
                <w:szCs w:val="20"/>
              </w:rPr>
              <w:t>ad hoc</w:t>
            </w:r>
            <w:r w:rsidR="008F157D">
              <w:rPr>
                <w:bCs/>
                <w:sz w:val="20"/>
                <w:szCs w:val="20"/>
              </w:rPr>
              <w:t>)</w:t>
            </w:r>
            <w:r w:rsidR="00D9449B">
              <w:rPr>
                <w:bCs/>
                <w:sz w:val="20"/>
                <w:szCs w:val="20"/>
              </w:rPr>
              <w:t>. W </w:t>
            </w:r>
            <w:r>
              <w:rPr>
                <w:bCs/>
                <w:sz w:val="20"/>
                <w:szCs w:val="20"/>
              </w:rPr>
              <w:t>przypadku skierowania wniosku do organu centralnego MS, odpowiedni pracownicy winni zidentyfikować organ</w:t>
            </w:r>
            <w:r w:rsidR="008F157D">
              <w:rPr>
                <w:bCs/>
                <w:sz w:val="20"/>
                <w:szCs w:val="20"/>
              </w:rPr>
              <w:t xml:space="preserve"> - wystawcę i gdy figuruje on w </w:t>
            </w:r>
            <w:r>
              <w:rPr>
                <w:bCs/>
                <w:sz w:val="20"/>
                <w:szCs w:val="20"/>
              </w:rPr>
              <w:t>systemie IMI przekazać mu wniosek. Gdyby odpowiednie konto nie było zarejestrowane, wnio</w:t>
            </w:r>
            <w:r w:rsidR="008F157D">
              <w:rPr>
                <w:bCs/>
                <w:sz w:val="20"/>
                <w:szCs w:val="20"/>
              </w:rPr>
              <w:t>sek winien zostać przekazany do</w:t>
            </w:r>
            <w:r>
              <w:rPr>
                <w:bCs/>
                <w:sz w:val="20"/>
                <w:szCs w:val="20"/>
              </w:rPr>
              <w:t xml:space="preserve"> odpowiedniego koordynatora delegowanego, który zarejestruje organ – wystawcę i przekaże mu wniosek.  </w:t>
            </w:r>
            <w:r w:rsidR="008F157D">
              <w:rPr>
                <w:bCs/>
                <w:sz w:val="20"/>
                <w:szCs w:val="20"/>
              </w:rPr>
              <w:t xml:space="preserve">Gdy </w:t>
            </w:r>
            <w:r>
              <w:rPr>
                <w:bCs/>
                <w:sz w:val="20"/>
                <w:szCs w:val="20"/>
              </w:rPr>
              <w:t xml:space="preserve"> wniosek wpłynąłby bezpośrednio do koordynatora delegowanego – podlegałby on przekazaniu,</w:t>
            </w:r>
            <w:r w:rsidR="00D9449B">
              <w:rPr>
                <w:bCs/>
                <w:sz w:val="20"/>
                <w:szCs w:val="20"/>
              </w:rPr>
              <w:t xml:space="preserve"> przy czym</w:t>
            </w:r>
            <w:r>
              <w:rPr>
                <w:bCs/>
                <w:sz w:val="20"/>
                <w:szCs w:val="20"/>
              </w:rPr>
              <w:t xml:space="preserve"> początkowo, gdyby brak było konta odbiorcy, </w:t>
            </w:r>
            <w:r w:rsidR="00D9449B">
              <w:rPr>
                <w:bCs/>
                <w:sz w:val="20"/>
                <w:szCs w:val="20"/>
              </w:rPr>
              <w:t xml:space="preserve">także </w:t>
            </w:r>
            <w:r>
              <w:rPr>
                <w:bCs/>
                <w:sz w:val="20"/>
                <w:szCs w:val="20"/>
              </w:rPr>
              <w:t>niezbędne byłoby d</w:t>
            </w:r>
            <w:r w:rsidR="00EE63ED">
              <w:rPr>
                <w:bCs/>
                <w:sz w:val="20"/>
                <w:szCs w:val="20"/>
              </w:rPr>
              <w:t>okonanie rejestracji</w:t>
            </w:r>
            <w:r w:rsidR="00D9449B">
              <w:rPr>
                <w:bCs/>
                <w:sz w:val="20"/>
                <w:szCs w:val="20"/>
              </w:rPr>
              <w:t xml:space="preserve"> właściwego</w:t>
            </w:r>
            <w:r w:rsidR="00EE63ED">
              <w:rPr>
                <w:bCs/>
                <w:sz w:val="20"/>
                <w:szCs w:val="20"/>
              </w:rPr>
              <w:t xml:space="preserve"> organu</w:t>
            </w:r>
            <w:r w:rsidR="00D9449B">
              <w:rPr>
                <w:bCs/>
                <w:sz w:val="20"/>
                <w:szCs w:val="20"/>
              </w:rPr>
              <w:t xml:space="preserve"> (wystawcy)</w:t>
            </w:r>
            <w:r w:rsidR="00EE63ED">
              <w:rPr>
                <w:bCs/>
                <w:sz w:val="20"/>
                <w:szCs w:val="20"/>
              </w:rPr>
              <w:t xml:space="preserve">. </w:t>
            </w:r>
          </w:p>
          <w:p w:rsidR="008A0DCC" w:rsidRDefault="00EE63ED" w:rsidP="00BD33B1">
            <w:pPr>
              <w:jc w:val="both"/>
              <w:rPr>
                <w:bCs/>
                <w:sz w:val="20"/>
                <w:szCs w:val="20"/>
              </w:rPr>
            </w:pPr>
            <w:r>
              <w:rPr>
                <w:bCs/>
                <w:sz w:val="20"/>
                <w:szCs w:val="20"/>
              </w:rPr>
              <w:t>Do </w:t>
            </w:r>
            <w:r w:rsidR="008A0DCC">
              <w:rPr>
                <w:bCs/>
                <w:sz w:val="20"/>
                <w:szCs w:val="20"/>
              </w:rPr>
              <w:t xml:space="preserve">sytuacji w której przy obsłudze wniosku uczestniczy organ centralny, w tym również działający w jego imieniu koordynator delegowany, zastosowanie znajduje dłuższy 10-dniowy termin na udzielenie odpowiedzi (art. 14 ust. 5 rozporządzenia 2016/1191). </w:t>
            </w:r>
          </w:p>
          <w:p w:rsidR="008A0DCC" w:rsidRPr="003E1A18" w:rsidRDefault="008A0DCC" w:rsidP="005779EC">
            <w:pPr>
              <w:jc w:val="both"/>
              <w:rPr>
                <w:bCs/>
                <w:sz w:val="20"/>
                <w:szCs w:val="20"/>
              </w:rPr>
            </w:pPr>
            <w:r>
              <w:rPr>
                <w:bCs/>
                <w:sz w:val="20"/>
                <w:szCs w:val="20"/>
              </w:rPr>
              <w:t>Koordynator</w:t>
            </w:r>
            <w:r w:rsidR="008F157D">
              <w:rPr>
                <w:bCs/>
                <w:sz w:val="20"/>
                <w:szCs w:val="20"/>
              </w:rPr>
              <w:t xml:space="preserve"> delegowany, do którego wpłynie</w:t>
            </w:r>
            <w:r>
              <w:rPr>
                <w:bCs/>
                <w:sz w:val="20"/>
                <w:szCs w:val="20"/>
              </w:rPr>
              <w:t xml:space="preserve"> niewłaściwy wniosek</w:t>
            </w:r>
            <w:r w:rsidR="008F157D">
              <w:rPr>
                <w:bCs/>
                <w:sz w:val="20"/>
                <w:szCs w:val="20"/>
              </w:rPr>
              <w:t xml:space="preserve"> (np.</w:t>
            </w:r>
            <w:r w:rsidR="005779EC">
              <w:rPr>
                <w:bCs/>
                <w:sz w:val="20"/>
                <w:szCs w:val="20"/>
              </w:rPr>
              <w:t xml:space="preserve"> do „niewłaściwego miejscowo” prezesa </w:t>
            </w:r>
            <w:proofErr w:type="spellStart"/>
            <w:r w:rsidR="005779EC">
              <w:rPr>
                <w:bCs/>
                <w:sz w:val="20"/>
                <w:szCs w:val="20"/>
              </w:rPr>
              <w:t>r.i.n</w:t>
            </w:r>
            <w:proofErr w:type="spellEnd"/>
            <w:r w:rsidR="005779EC">
              <w:rPr>
                <w:bCs/>
                <w:sz w:val="20"/>
                <w:szCs w:val="20"/>
              </w:rPr>
              <w:t>.)</w:t>
            </w:r>
            <w:r>
              <w:rPr>
                <w:bCs/>
                <w:sz w:val="20"/>
                <w:szCs w:val="20"/>
              </w:rPr>
              <w:t xml:space="preserve">, powinien przekazać go </w:t>
            </w:r>
            <w:r w:rsidR="00EE63ED">
              <w:rPr>
                <w:bCs/>
                <w:sz w:val="20"/>
                <w:szCs w:val="20"/>
              </w:rPr>
              <w:t>organowi</w:t>
            </w:r>
            <w:r w:rsidR="008F157D">
              <w:rPr>
                <w:bCs/>
                <w:sz w:val="20"/>
                <w:szCs w:val="20"/>
              </w:rPr>
              <w:t xml:space="preserve"> - wystawcy</w:t>
            </w:r>
            <w:r w:rsidR="00EE63ED">
              <w:rPr>
                <w:bCs/>
                <w:sz w:val="20"/>
                <w:szCs w:val="20"/>
              </w:rPr>
              <w:t>, o ile</w:t>
            </w:r>
            <w:r w:rsidR="008F157D">
              <w:rPr>
                <w:bCs/>
                <w:sz w:val="20"/>
                <w:szCs w:val="20"/>
              </w:rPr>
              <w:t xml:space="preserve"> organ ten</w:t>
            </w:r>
            <w:r w:rsidR="00EE63ED">
              <w:rPr>
                <w:bCs/>
                <w:sz w:val="20"/>
                <w:szCs w:val="20"/>
              </w:rPr>
              <w:t xml:space="preserve"> widnieje </w:t>
            </w:r>
            <w:r w:rsidR="008F157D">
              <w:rPr>
                <w:bCs/>
                <w:sz w:val="20"/>
                <w:szCs w:val="20"/>
              </w:rPr>
              <w:t xml:space="preserve">już </w:t>
            </w:r>
            <w:r w:rsidR="00EE63ED">
              <w:rPr>
                <w:bCs/>
                <w:sz w:val="20"/>
                <w:szCs w:val="20"/>
              </w:rPr>
              <w:t>w </w:t>
            </w:r>
            <w:r>
              <w:rPr>
                <w:bCs/>
                <w:sz w:val="20"/>
                <w:szCs w:val="20"/>
              </w:rPr>
              <w:t xml:space="preserve">systemie IMI i został on rozpoznany przez </w:t>
            </w:r>
            <w:r>
              <w:rPr>
                <w:bCs/>
                <w:sz w:val="20"/>
                <w:szCs w:val="20"/>
              </w:rPr>
              <w:lastRenderedPageBreak/>
              <w:t>koordynatora jako wystawca dokumentu.</w:t>
            </w:r>
            <w:r w:rsidR="005779EC">
              <w:rPr>
                <w:bCs/>
                <w:sz w:val="20"/>
                <w:szCs w:val="20"/>
              </w:rPr>
              <w:t xml:space="preserve"> Gdyby wystawca nie figurował w </w:t>
            </w:r>
            <w:r>
              <w:rPr>
                <w:bCs/>
                <w:sz w:val="20"/>
                <w:szCs w:val="20"/>
              </w:rPr>
              <w:t xml:space="preserve">systemie, należałoby przekazać wniosek do innego, właściwego koordynatora delegowanego, który winien dokonać niezbędnych czynności (rejestracja wystawcy i przekazanie mu wniosku). W przypadku wniosków dotyczących orzeczeń sądowych, z uwagi na ich redakcję zawierającą wskazanie sądu, który wydał dane orzeczenie, identyfikacja właściwego organu nie powinna sprawiać problemów. </w:t>
            </w:r>
            <w:r w:rsidR="005F55C0">
              <w:rPr>
                <w:bCs/>
                <w:sz w:val="20"/>
                <w:szCs w:val="20"/>
              </w:rPr>
              <w:t>Niewykluczona</w:t>
            </w:r>
            <w:r>
              <w:rPr>
                <w:bCs/>
                <w:sz w:val="20"/>
                <w:szCs w:val="20"/>
              </w:rPr>
              <w:t xml:space="preserve"> pozostaje konieczność przekazania </w:t>
            </w:r>
            <w:r w:rsidR="005F55C0">
              <w:rPr>
                <w:bCs/>
                <w:sz w:val="20"/>
                <w:szCs w:val="20"/>
              </w:rPr>
              <w:t xml:space="preserve">wniosku </w:t>
            </w:r>
            <w:r>
              <w:rPr>
                <w:bCs/>
                <w:sz w:val="20"/>
                <w:szCs w:val="20"/>
              </w:rPr>
              <w:t>organowi centralnemu, np.</w:t>
            </w:r>
            <w:r w:rsidR="005F55C0">
              <w:rPr>
                <w:bCs/>
                <w:sz w:val="20"/>
                <w:szCs w:val="20"/>
              </w:rPr>
              <w:t xml:space="preserve"> w sytuacji </w:t>
            </w:r>
            <w:r>
              <w:rPr>
                <w:bCs/>
                <w:sz w:val="20"/>
                <w:szCs w:val="20"/>
              </w:rPr>
              <w:t xml:space="preserve"> gdyby notariusz bądź prezes </w:t>
            </w:r>
            <w:proofErr w:type="spellStart"/>
            <w:r>
              <w:rPr>
                <w:bCs/>
                <w:sz w:val="20"/>
                <w:szCs w:val="20"/>
              </w:rPr>
              <w:t>r.i</w:t>
            </w:r>
            <w:r w:rsidR="00EE63ED">
              <w:rPr>
                <w:bCs/>
                <w:sz w:val="20"/>
                <w:szCs w:val="20"/>
              </w:rPr>
              <w:t>.</w:t>
            </w:r>
            <w:r>
              <w:rPr>
                <w:bCs/>
                <w:sz w:val="20"/>
                <w:szCs w:val="20"/>
              </w:rPr>
              <w:t>n</w:t>
            </w:r>
            <w:proofErr w:type="spellEnd"/>
            <w:r>
              <w:rPr>
                <w:bCs/>
                <w:sz w:val="20"/>
                <w:szCs w:val="20"/>
              </w:rPr>
              <w:t>. otrzymał wniosek dotyczący oryginału dokumentu dotyczącego aktów stanu cywilnego właściwym jest prze</w:t>
            </w:r>
            <w:r w:rsidR="005F55C0">
              <w:rPr>
                <w:bCs/>
                <w:sz w:val="20"/>
                <w:szCs w:val="20"/>
              </w:rPr>
              <w:t>kazanie go na skrzynkę odbiorczą</w:t>
            </w:r>
            <w:r>
              <w:rPr>
                <w:bCs/>
                <w:sz w:val="20"/>
                <w:szCs w:val="20"/>
              </w:rPr>
              <w:t xml:space="preserve"> MSWiA. Również w przypadku problemów z identyfikacją organu – wystawcy, wniosek winien zostać przekazany organowi centralnemu, który zgodnie z art. 16 rozporządzenia 2016/1191 </w:t>
            </w:r>
            <w:r w:rsidRPr="00BD33B1">
              <w:rPr>
                <w:bCs/>
                <w:sz w:val="20"/>
                <w:szCs w:val="20"/>
              </w:rPr>
              <w:t>zapewni</w:t>
            </w:r>
            <w:r w:rsidR="005779EC">
              <w:rPr>
                <w:bCs/>
                <w:sz w:val="20"/>
                <w:szCs w:val="20"/>
              </w:rPr>
              <w:t>a</w:t>
            </w:r>
            <w:r w:rsidRPr="00BD33B1">
              <w:rPr>
                <w:bCs/>
                <w:sz w:val="20"/>
                <w:szCs w:val="20"/>
              </w:rPr>
              <w:t xml:space="preserve"> pomoc w związku z wnioskami o udzielenie informacji na m</w:t>
            </w:r>
            <w:r>
              <w:rPr>
                <w:bCs/>
                <w:sz w:val="20"/>
                <w:szCs w:val="20"/>
              </w:rPr>
              <w:t xml:space="preserve">ocy art. 14, a w szczególności </w:t>
            </w:r>
            <w:r w:rsidRPr="003E1A18">
              <w:rPr>
                <w:sz w:val="20"/>
                <w:szCs w:val="20"/>
              </w:rPr>
              <w:t>przekazują i przyjmują takie wnioski oraz</w:t>
            </w:r>
            <w:r>
              <w:rPr>
                <w:sz w:val="20"/>
                <w:szCs w:val="20"/>
              </w:rPr>
              <w:t xml:space="preserve"> </w:t>
            </w:r>
            <w:r w:rsidRPr="003E1A18">
              <w:rPr>
                <w:sz w:val="20"/>
                <w:szCs w:val="20"/>
              </w:rPr>
              <w:t>dostarczają niezbędnych informacji w odniesieniu do tych wniosków.</w:t>
            </w:r>
            <w:r>
              <w:rPr>
                <w:sz w:val="20"/>
                <w:szCs w:val="20"/>
              </w:rPr>
              <w:t xml:space="preserve">  W opisanym wyżej systemie </w:t>
            </w:r>
            <w:proofErr w:type="spellStart"/>
            <w:r>
              <w:rPr>
                <w:sz w:val="20"/>
                <w:szCs w:val="20"/>
              </w:rPr>
              <w:t>r.i.n</w:t>
            </w:r>
            <w:proofErr w:type="spellEnd"/>
            <w:r>
              <w:rPr>
                <w:sz w:val="20"/>
                <w:szCs w:val="20"/>
              </w:rPr>
              <w:t xml:space="preserve">. nie są obowiązane ani też władne nadawać uprawnień (rejestrować) w systemie IMI  kont dla sądów.  </w:t>
            </w:r>
          </w:p>
        </w:tc>
      </w:tr>
      <w:tr w:rsidR="008A0DCC" w:rsidRPr="006A58E0" w:rsidTr="00482C75">
        <w:trPr>
          <w:trHeight w:val="95"/>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8A0DCC" w:rsidP="00665FD7">
            <w:pPr>
              <w:spacing w:line="276" w:lineRule="auto"/>
              <w:jc w:val="both"/>
              <w:rPr>
                <w:rFonts w:cs="Times New Roman"/>
                <w:sz w:val="20"/>
                <w:szCs w:val="20"/>
              </w:rPr>
            </w:pPr>
            <w:r>
              <w:rPr>
                <w:rFonts w:cs="Times New Roman"/>
                <w:sz w:val="20"/>
                <w:szCs w:val="20"/>
              </w:rPr>
              <w:t>3d</w:t>
            </w:r>
          </w:p>
        </w:tc>
        <w:tc>
          <w:tcPr>
            <w:tcW w:w="1453" w:type="pct"/>
          </w:tcPr>
          <w:p w:rsidR="008A0DCC" w:rsidRDefault="008A0DCC" w:rsidP="006C3CDB">
            <w:pPr>
              <w:spacing w:line="276" w:lineRule="auto"/>
              <w:jc w:val="both"/>
              <w:rPr>
                <w:rFonts w:cs="Times New Roman"/>
                <w:sz w:val="20"/>
                <w:szCs w:val="20"/>
              </w:rPr>
            </w:pPr>
            <w:r>
              <w:rPr>
                <w:rFonts w:cs="Times New Roman"/>
                <w:sz w:val="20"/>
                <w:szCs w:val="20"/>
              </w:rPr>
              <w:t xml:space="preserve">Prezesi sądów apelacyjnych posiadają uprawnienia do nadzoru nad działalnością notariuszy, </w:t>
            </w:r>
            <w:r w:rsidRPr="006C3CDB">
              <w:rPr>
                <w:rFonts w:cs="Times New Roman"/>
                <w:sz w:val="20"/>
                <w:szCs w:val="20"/>
              </w:rPr>
              <w:t>a także posiadają wiedzę w zakres</w:t>
            </w:r>
            <w:r>
              <w:rPr>
                <w:rFonts w:cs="Times New Roman"/>
                <w:sz w:val="20"/>
                <w:szCs w:val="20"/>
              </w:rPr>
              <w:t>ie osób wykonujących ten zawód oraz</w:t>
            </w:r>
            <w:r w:rsidRPr="006C3CDB">
              <w:rPr>
                <w:rFonts w:cs="Times New Roman"/>
                <w:sz w:val="20"/>
                <w:szCs w:val="20"/>
              </w:rPr>
              <w:t xml:space="preserve"> posiadają stosowne kompetencje do zweryfikowania, czy dana osoba jest notariuszem oraz czy mogła wydać dokument, co do którego złożono zapytanie w systemie IMI. Jeżeli wniosek wymagałby więc </w:t>
            </w:r>
            <w:r>
              <w:rPr>
                <w:rFonts w:cs="Times New Roman"/>
                <w:sz w:val="20"/>
                <w:szCs w:val="20"/>
              </w:rPr>
              <w:t>przekierowania do notariusza,</w:t>
            </w:r>
            <w:r w:rsidRPr="006C3CDB">
              <w:rPr>
                <w:rFonts w:cs="Times New Roman"/>
                <w:sz w:val="20"/>
                <w:szCs w:val="20"/>
              </w:rPr>
              <w:t xml:space="preserve"> nie byłoby przeszkód, aby to prezes sądu apelacyjnego utworzył </w:t>
            </w:r>
            <w:r w:rsidR="005F55C0">
              <w:rPr>
                <w:rFonts w:cs="Times New Roman"/>
                <w:sz w:val="20"/>
                <w:szCs w:val="20"/>
              </w:rPr>
              <w:t>stosowne konto dla notariusza i </w:t>
            </w:r>
            <w:r w:rsidR="005779EC">
              <w:rPr>
                <w:rFonts w:cs="Times New Roman"/>
                <w:sz w:val="20"/>
                <w:szCs w:val="20"/>
              </w:rPr>
              <w:t>przekazał wniosek zgodnie z </w:t>
            </w:r>
            <w:r w:rsidRPr="006C3CDB">
              <w:rPr>
                <w:rFonts w:cs="Times New Roman"/>
                <w:sz w:val="20"/>
                <w:szCs w:val="20"/>
              </w:rPr>
              <w:t>właściwością.</w:t>
            </w: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r>
              <w:rPr>
                <w:rFonts w:cs="Times New Roman"/>
                <w:sz w:val="20"/>
                <w:szCs w:val="20"/>
              </w:rPr>
              <w:br/>
            </w:r>
          </w:p>
          <w:p w:rsidR="008A0DCC" w:rsidRDefault="008A0DCC" w:rsidP="00665FD7">
            <w:pPr>
              <w:spacing w:line="276" w:lineRule="auto"/>
              <w:jc w:val="both"/>
              <w:rPr>
                <w:sz w:val="20"/>
                <w:szCs w:val="20"/>
              </w:rPr>
            </w:pPr>
          </w:p>
        </w:tc>
        <w:tc>
          <w:tcPr>
            <w:tcW w:w="2456" w:type="pct"/>
          </w:tcPr>
          <w:p w:rsidR="008A0DCC" w:rsidRDefault="008A0DCC" w:rsidP="00EC402A">
            <w:pPr>
              <w:jc w:val="both"/>
              <w:rPr>
                <w:sz w:val="20"/>
                <w:szCs w:val="20"/>
              </w:rPr>
            </w:pPr>
            <w:r w:rsidRPr="006A58E0">
              <w:rPr>
                <w:b/>
                <w:sz w:val="20"/>
                <w:szCs w:val="20"/>
              </w:rPr>
              <w:lastRenderedPageBreak/>
              <w:t xml:space="preserve">Uwaga </w:t>
            </w:r>
            <w:r>
              <w:rPr>
                <w:b/>
                <w:sz w:val="20"/>
                <w:szCs w:val="20"/>
              </w:rPr>
              <w:t>nie</w:t>
            </w:r>
            <w:r w:rsidRPr="006A58E0">
              <w:rPr>
                <w:b/>
                <w:sz w:val="20"/>
                <w:szCs w:val="20"/>
              </w:rPr>
              <w:t>uwzględniona</w:t>
            </w:r>
            <w:r>
              <w:rPr>
                <w:b/>
                <w:sz w:val="20"/>
                <w:szCs w:val="20"/>
              </w:rPr>
              <w:t xml:space="preserve"> – </w:t>
            </w:r>
            <w:r>
              <w:rPr>
                <w:sz w:val="20"/>
                <w:szCs w:val="20"/>
              </w:rPr>
              <w:t>Odnośnie uprawnień</w:t>
            </w:r>
            <w:r w:rsidRPr="0032363B">
              <w:rPr>
                <w:sz w:val="20"/>
                <w:szCs w:val="20"/>
              </w:rPr>
              <w:t xml:space="preserve"> nadzorczych </w:t>
            </w:r>
            <w:r w:rsidR="005779EC">
              <w:rPr>
                <w:sz w:val="20"/>
                <w:szCs w:val="20"/>
              </w:rPr>
              <w:t>prezesów SA w </w:t>
            </w:r>
            <w:r>
              <w:rPr>
                <w:sz w:val="20"/>
                <w:szCs w:val="20"/>
              </w:rPr>
              <w:t>pierwszej kolejności p</w:t>
            </w:r>
            <w:r w:rsidRPr="0032363B">
              <w:rPr>
                <w:sz w:val="20"/>
                <w:szCs w:val="20"/>
              </w:rPr>
              <w:t>odzielić</w:t>
            </w:r>
            <w:r>
              <w:rPr>
                <w:sz w:val="20"/>
                <w:szCs w:val="20"/>
              </w:rPr>
              <w:t xml:space="preserve"> należy argumentację wyrażoną </w:t>
            </w:r>
            <w:r w:rsidR="00EE63ED">
              <w:rPr>
                <w:sz w:val="20"/>
                <w:szCs w:val="20"/>
              </w:rPr>
              <w:t>w odpowiedzi na uwagę</w:t>
            </w:r>
            <w:r>
              <w:rPr>
                <w:sz w:val="20"/>
                <w:szCs w:val="20"/>
              </w:rPr>
              <w:t xml:space="preserve"> 1b. </w:t>
            </w:r>
            <w:r w:rsidRPr="0032363B">
              <w:rPr>
                <w:sz w:val="20"/>
                <w:szCs w:val="20"/>
              </w:rPr>
              <w:t xml:space="preserve"> </w:t>
            </w:r>
          </w:p>
          <w:p w:rsidR="008A0DCC" w:rsidRDefault="008A0DCC" w:rsidP="00EC402A">
            <w:pPr>
              <w:jc w:val="both"/>
              <w:rPr>
                <w:sz w:val="20"/>
                <w:szCs w:val="20"/>
              </w:rPr>
            </w:pPr>
            <w:r w:rsidRPr="0032363B">
              <w:rPr>
                <w:sz w:val="20"/>
                <w:szCs w:val="20"/>
              </w:rPr>
              <w:t>Niewłaś</w:t>
            </w:r>
            <w:r>
              <w:rPr>
                <w:sz w:val="20"/>
                <w:szCs w:val="20"/>
              </w:rPr>
              <w:t>ciwym jawi się</w:t>
            </w:r>
            <w:r w:rsidRPr="0032363B">
              <w:rPr>
                <w:sz w:val="20"/>
                <w:szCs w:val="20"/>
              </w:rPr>
              <w:t xml:space="preserve"> </w:t>
            </w:r>
            <w:r>
              <w:rPr>
                <w:sz w:val="20"/>
                <w:szCs w:val="20"/>
              </w:rPr>
              <w:t xml:space="preserve">przy tym </w:t>
            </w:r>
            <w:r w:rsidRPr="0032363B">
              <w:rPr>
                <w:sz w:val="20"/>
                <w:szCs w:val="20"/>
              </w:rPr>
              <w:t>odwoł</w:t>
            </w:r>
            <w:r>
              <w:rPr>
                <w:sz w:val="20"/>
                <w:szCs w:val="20"/>
              </w:rPr>
              <w:t>ywa</w:t>
            </w:r>
            <w:r w:rsidRPr="0032363B">
              <w:rPr>
                <w:sz w:val="20"/>
                <w:szCs w:val="20"/>
              </w:rPr>
              <w:t>nie przez konsultującego do</w:t>
            </w:r>
            <w:r>
              <w:rPr>
                <w:sz w:val="20"/>
                <w:szCs w:val="20"/>
              </w:rPr>
              <w:t xml:space="preserve"> przeprowadzania przez koordynatora delegowanego (prezesa SA)  oceny, czy dana osoba mogła wystawić dokument. Co do zasady zadaniem koordynatora pozostaje przekazanie wniosku do organu, który wydał dany dokument, a nie ocena, czy dokument ten został przez niego wydany. Nadto, odpowiedź na wniosek nie sprowadza się do wskazania, czy dany dokument mógł zostać wystawiony przez określony organ,  lecz do oceny czy jest on</w:t>
            </w:r>
            <w:r w:rsidRPr="00FB0F4C">
              <w:rPr>
                <w:sz w:val="20"/>
                <w:szCs w:val="20"/>
              </w:rPr>
              <w:t xml:space="preserve"> autentyczn</w:t>
            </w:r>
            <w:r>
              <w:rPr>
                <w:sz w:val="20"/>
                <w:szCs w:val="20"/>
              </w:rPr>
              <w:t xml:space="preserve">y (zob. art. 14 ust. 6 rozporządzenia 2016/1191). </w:t>
            </w:r>
          </w:p>
          <w:p w:rsidR="008A0DCC" w:rsidRPr="006A58E0" w:rsidRDefault="008A0DCC" w:rsidP="00C00E36">
            <w:pPr>
              <w:jc w:val="both"/>
              <w:rPr>
                <w:b/>
                <w:sz w:val="20"/>
                <w:szCs w:val="20"/>
              </w:rPr>
            </w:pPr>
            <w:r>
              <w:rPr>
                <w:sz w:val="20"/>
                <w:szCs w:val="20"/>
              </w:rPr>
              <w:t xml:space="preserve">W rozwinięciu omawianej w tym punkcie uwagi (drugi akapit na s. 4 pisma Prezesa RIN w Krakowie), jako potwierdzenie znajomości przez prezesów SA składów osobowych izb notarialnych przywołano treść art. 37 </w:t>
            </w:r>
            <w:proofErr w:type="spellStart"/>
            <w:r>
              <w:rPr>
                <w:sz w:val="20"/>
                <w:szCs w:val="20"/>
              </w:rPr>
              <w:t>u.p.n</w:t>
            </w:r>
            <w:proofErr w:type="spellEnd"/>
            <w:r>
              <w:rPr>
                <w:sz w:val="20"/>
                <w:szCs w:val="20"/>
              </w:rPr>
              <w:t>. Należy jednak podkreślić, że przepis ten odnosi się do coroczn</w:t>
            </w:r>
            <w:r w:rsidR="0076640E">
              <w:rPr>
                <w:sz w:val="20"/>
                <w:szCs w:val="20"/>
              </w:rPr>
              <w:t xml:space="preserve">ego obowiązku </w:t>
            </w:r>
            <w:r>
              <w:rPr>
                <w:sz w:val="20"/>
                <w:szCs w:val="20"/>
              </w:rPr>
              <w:t xml:space="preserve">(do </w:t>
            </w:r>
            <w:r w:rsidRPr="00E220BE">
              <w:rPr>
                <w:sz w:val="20"/>
                <w:szCs w:val="20"/>
              </w:rPr>
              <w:t>dnia 31 marca każdego roku</w:t>
            </w:r>
            <w:r>
              <w:rPr>
                <w:sz w:val="20"/>
                <w:szCs w:val="20"/>
              </w:rPr>
              <w:t xml:space="preserve">) przedkładania </w:t>
            </w:r>
            <w:r w:rsidRPr="00E220BE">
              <w:rPr>
                <w:sz w:val="20"/>
                <w:szCs w:val="20"/>
              </w:rPr>
              <w:t>Ministrowi Sprawiedliwości, Krajowej Radzie Notarialnej oraz prezesowi właściwego sądu apelacyjnego wykaz</w:t>
            </w:r>
            <w:r>
              <w:rPr>
                <w:sz w:val="20"/>
                <w:szCs w:val="20"/>
              </w:rPr>
              <w:t>u</w:t>
            </w:r>
            <w:r w:rsidR="00EE63ED">
              <w:rPr>
                <w:sz w:val="20"/>
                <w:szCs w:val="20"/>
              </w:rPr>
              <w:t xml:space="preserve"> jedynie</w:t>
            </w:r>
            <w:r w:rsidRPr="00E220BE">
              <w:rPr>
                <w:sz w:val="20"/>
                <w:szCs w:val="20"/>
              </w:rPr>
              <w:t xml:space="preserve"> zastępców notarialnych i aplikantów notarialnych izby, według stanu na dzień 31 grudn</w:t>
            </w:r>
            <w:r>
              <w:rPr>
                <w:sz w:val="20"/>
                <w:szCs w:val="20"/>
              </w:rPr>
              <w:t>ia poprzedniego roku. Przepis ten nie odnos</w:t>
            </w:r>
            <w:r w:rsidR="00BF4DAE">
              <w:rPr>
                <w:sz w:val="20"/>
                <w:szCs w:val="20"/>
              </w:rPr>
              <w:t>i się do wskazań choćby adresów notariuszy</w:t>
            </w:r>
            <w:r>
              <w:rPr>
                <w:sz w:val="20"/>
                <w:szCs w:val="20"/>
              </w:rPr>
              <w:t xml:space="preserve">. Niewątpliwie bardziej aktualne dane w tym zakresie posiada samorząd </w:t>
            </w:r>
            <w:r>
              <w:rPr>
                <w:sz w:val="20"/>
                <w:szCs w:val="20"/>
              </w:rPr>
              <w:lastRenderedPageBreak/>
              <w:t>notarialny aniżeli prezesi SA</w:t>
            </w:r>
            <w:r w:rsidR="00C00E36">
              <w:rPr>
                <w:sz w:val="20"/>
                <w:szCs w:val="20"/>
              </w:rPr>
              <w:t>. W</w:t>
            </w:r>
            <w:r>
              <w:rPr>
                <w:sz w:val="20"/>
                <w:szCs w:val="20"/>
              </w:rPr>
              <w:t xml:space="preserve"> myśl art. </w:t>
            </w:r>
            <w:bookmarkStart w:id="1" w:name="mip48052118"/>
            <w:bookmarkEnd w:id="1"/>
            <w:r w:rsidRPr="00E220BE">
              <w:rPr>
                <w:bCs/>
                <w:sz w:val="20"/>
                <w:szCs w:val="20"/>
              </w:rPr>
              <w:t>37a</w:t>
            </w:r>
            <w:r>
              <w:rPr>
                <w:bCs/>
                <w:sz w:val="20"/>
                <w:szCs w:val="20"/>
              </w:rPr>
              <w:t xml:space="preserve"> </w:t>
            </w:r>
            <w:proofErr w:type="spellStart"/>
            <w:r>
              <w:rPr>
                <w:bCs/>
                <w:sz w:val="20"/>
                <w:szCs w:val="20"/>
              </w:rPr>
              <w:t>u.p.n</w:t>
            </w:r>
            <w:proofErr w:type="spellEnd"/>
            <w:r>
              <w:rPr>
                <w:bCs/>
                <w:sz w:val="20"/>
                <w:szCs w:val="20"/>
              </w:rPr>
              <w:t>.</w:t>
            </w:r>
            <w:r w:rsidRPr="00E220BE">
              <w:rPr>
                <w:bCs/>
                <w:sz w:val="20"/>
                <w:szCs w:val="20"/>
              </w:rPr>
              <w:t> </w:t>
            </w:r>
            <w:r>
              <w:rPr>
                <w:sz w:val="20"/>
                <w:szCs w:val="20"/>
              </w:rPr>
              <w:t>r</w:t>
            </w:r>
            <w:r w:rsidRPr="00E220BE">
              <w:rPr>
                <w:sz w:val="20"/>
                <w:szCs w:val="20"/>
              </w:rPr>
              <w:t>ada izby notarialnej przekazuje niezwłocznie Krajowej Radzie No</w:t>
            </w:r>
            <w:r w:rsidR="00EE63ED">
              <w:rPr>
                <w:sz w:val="20"/>
                <w:szCs w:val="20"/>
              </w:rPr>
              <w:t>tarialnej aktualne informacje o </w:t>
            </w:r>
            <w:r w:rsidRPr="00E220BE">
              <w:rPr>
                <w:sz w:val="20"/>
                <w:szCs w:val="20"/>
              </w:rPr>
              <w:t xml:space="preserve">notariuszach oraz zastępcach notarialnych. </w:t>
            </w:r>
            <w:r w:rsidR="00BF4DAE" w:rsidRPr="00BF4DAE">
              <w:rPr>
                <w:sz w:val="20"/>
                <w:szCs w:val="20"/>
              </w:rPr>
              <w:t>Informacja obejmuje imię i nazwisko notariusza lub zastępcy notarialnego, właściwą izbę notarialną, datę i numer decyzji o powołaniu notariusza lub o jego odwołaniu, datę umieszczenia w wykazie zastępców notarialnych lub skreślenia z te</w:t>
            </w:r>
            <w:r w:rsidR="005779EC">
              <w:rPr>
                <w:sz w:val="20"/>
                <w:szCs w:val="20"/>
              </w:rPr>
              <w:t>go wykazu, a także informacje o </w:t>
            </w:r>
            <w:r w:rsidR="00BF4DAE" w:rsidRPr="00BF4DAE">
              <w:rPr>
                <w:sz w:val="20"/>
                <w:szCs w:val="20"/>
              </w:rPr>
              <w:t>zawieszeniu w czynnościach zawodowych.</w:t>
            </w:r>
            <w:r w:rsidR="00BF4DAE">
              <w:rPr>
                <w:sz w:val="20"/>
                <w:szCs w:val="20"/>
              </w:rPr>
              <w:t xml:space="preserve"> Jednocześnie </w:t>
            </w:r>
            <w:proofErr w:type="spellStart"/>
            <w:r w:rsidR="00BF4DAE">
              <w:rPr>
                <w:sz w:val="20"/>
                <w:szCs w:val="20"/>
              </w:rPr>
              <w:t>r.i.n</w:t>
            </w:r>
            <w:proofErr w:type="spellEnd"/>
            <w:r w:rsidR="00BF4DAE">
              <w:rPr>
                <w:sz w:val="20"/>
                <w:szCs w:val="20"/>
              </w:rPr>
              <w:t xml:space="preserve">. powinna posiadać wiedzę o siedzibach  notariuszy, gdyż w myśl art. 10 </w:t>
            </w:r>
            <w:r w:rsidR="00BF4DAE" w:rsidRPr="00BF4DAE">
              <w:rPr>
                <w:sz w:val="20"/>
                <w:szCs w:val="20"/>
              </w:rPr>
              <w:t>§ 1</w:t>
            </w:r>
            <w:r w:rsidR="00BF4DAE">
              <w:rPr>
                <w:sz w:val="20"/>
                <w:szCs w:val="20"/>
              </w:rPr>
              <w:t xml:space="preserve"> </w:t>
            </w:r>
            <w:proofErr w:type="spellStart"/>
            <w:r w:rsidR="00BF4DAE">
              <w:rPr>
                <w:sz w:val="20"/>
                <w:szCs w:val="20"/>
              </w:rPr>
              <w:t>u.p.n</w:t>
            </w:r>
            <w:proofErr w:type="spellEnd"/>
            <w:r w:rsidR="00BF4DAE">
              <w:rPr>
                <w:sz w:val="20"/>
                <w:szCs w:val="20"/>
              </w:rPr>
              <w:t>. n</w:t>
            </w:r>
            <w:r w:rsidR="00BF4DAE" w:rsidRPr="00BF4DAE">
              <w:rPr>
                <w:sz w:val="20"/>
                <w:szCs w:val="20"/>
              </w:rPr>
              <w:t>otariusza powołuje i wyznacza siedzibę jego kancelarii Minister Sprawiedliwości, na wniosek osoby zainteresowanej, po zasięgnięciu opinii rady właściwej izby notarialnej.</w:t>
            </w:r>
            <w:r w:rsidR="00EE63ED">
              <w:rPr>
                <w:sz w:val="20"/>
                <w:szCs w:val="20"/>
              </w:rPr>
              <w:t xml:space="preserve"> </w:t>
            </w:r>
          </w:p>
        </w:tc>
      </w:tr>
      <w:tr w:rsidR="008A0DCC" w:rsidRPr="006A58E0" w:rsidTr="00482C75">
        <w:trPr>
          <w:trHeight w:val="95"/>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8A0DCC" w:rsidP="00665FD7">
            <w:pPr>
              <w:spacing w:line="276" w:lineRule="auto"/>
              <w:jc w:val="both"/>
              <w:rPr>
                <w:rFonts w:cs="Times New Roman"/>
                <w:sz w:val="20"/>
                <w:szCs w:val="20"/>
              </w:rPr>
            </w:pPr>
            <w:r>
              <w:rPr>
                <w:rFonts w:cs="Times New Roman"/>
                <w:sz w:val="20"/>
                <w:szCs w:val="20"/>
              </w:rPr>
              <w:t>3e</w:t>
            </w:r>
          </w:p>
        </w:tc>
        <w:tc>
          <w:tcPr>
            <w:tcW w:w="1453" w:type="pct"/>
          </w:tcPr>
          <w:p w:rsidR="008A0DCC" w:rsidRPr="0082330E" w:rsidRDefault="008A0DCC" w:rsidP="00665FD7">
            <w:pPr>
              <w:spacing w:line="276" w:lineRule="auto"/>
              <w:jc w:val="both"/>
              <w:rPr>
                <w:rFonts w:cs="Times New Roman"/>
                <w:sz w:val="20"/>
                <w:szCs w:val="20"/>
              </w:rPr>
            </w:pPr>
            <w:r>
              <w:rPr>
                <w:rFonts w:cs="Times New Roman"/>
                <w:sz w:val="20"/>
                <w:szCs w:val="20"/>
              </w:rPr>
              <w:t xml:space="preserve">Konieczne jest  zorganizowanie i pokrycie przez MS kosztów odpowiednich szkoleń oraz wsparcie w zakresie dotyczącym obsługi systemu IMI oraz odroczenie wejścia w życie projektowanego rozporządzenia. </w:t>
            </w:r>
          </w:p>
        </w:tc>
        <w:tc>
          <w:tcPr>
            <w:tcW w:w="2456" w:type="pct"/>
          </w:tcPr>
          <w:p w:rsidR="008A0DCC" w:rsidRPr="0082330E" w:rsidRDefault="008A0DCC" w:rsidP="0082330E">
            <w:pPr>
              <w:jc w:val="both"/>
              <w:rPr>
                <w:sz w:val="20"/>
                <w:szCs w:val="20"/>
              </w:rPr>
            </w:pPr>
            <w:r w:rsidRPr="006A58E0">
              <w:rPr>
                <w:b/>
                <w:sz w:val="20"/>
                <w:szCs w:val="20"/>
              </w:rPr>
              <w:t xml:space="preserve">Uwaga </w:t>
            </w:r>
            <w:r>
              <w:rPr>
                <w:b/>
                <w:sz w:val="20"/>
                <w:szCs w:val="20"/>
              </w:rPr>
              <w:t xml:space="preserve">nieuwzględniona – </w:t>
            </w:r>
            <w:r w:rsidRPr="00D935CF">
              <w:rPr>
                <w:sz w:val="20"/>
                <w:szCs w:val="20"/>
              </w:rPr>
              <w:t xml:space="preserve"> w </w:t>
            </w:r>
            <w:r>
              <w:rPr>
                <w:sz w:val="20"/>
                <w:szCs w:val="20"/>
              </w:rPr>
              <w:t xml:space="preserve">przedmiocie finansowania należy podzielić stanowisko wyrażone odnośnie uwagi 1f, a w przedmiocie </w:t>
            </w:r>
            <w:r w:rsidRPr="00D935CF">
              <w:rPr>
                <w:sz w:val="20"/>
                <w:szCs w:val="20"/>
              </w:rPr>
              <w:t>wdrożenia do obsługi systemu</w:t>
            </w:r>
            <w:r>
              <w:rPr>
                <w:sz w:val="20"/>
                <w:szCs w:val="20"/>
              </w:rPr>
              <w:t xml:space="preserve"> IMI – 3b</w:t>
            </w:r>
            <w:r w:rsidRPr="00D935CF">
              <w:rPr>
                <w:sz w:val="20"/>
                <w:szCs w:val="20"/>
              </w:rPr>
              <w:t>.</w:t>
            </w:r>
            <w:r>
              <w:rPr>
                <w:sz w:val="20"/>
                <w:szCs w:val="20"/>
              </w:rPr>
              <w:t xml:space="preserve"> Zważając na wejście w życie rozporządzenia 2016/1191 w dniu 16 lutego 2019 r. oraz od dnia 24 maja 2019 r. ustawy implementującej, konieczne jest niezwłoczne zapewnienie funkcjonowania systemu obrotu dokumentami. </w:t>
            </w:r>
          </w:p>
        </w:tc>
      </w:tr>
      <w:tr w:rsidR="008A0DCC" w:rsidRPr="006A58E0" w:rsidTr="00482C75">
        <w:trPr>
          <w:trHeight w:val="95"/>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8A0DCC" w:rsidP="00EE63ED">
            <w:pPr>
              <w:spacing w:line="276" w:lineRule="auto"/>
              <w:jc w:val="both"/>
              <w:rPr>
                <w:rFonts w:cs="Times New Roman"/>
                <w:sz w:val="20"/>
                <w:szCs w:val="20"/>
              </w:rPr>
            </w:pPr>
            <w:r>
              <w:rPr>
                <w:rFonts w:cs="Times New Roman"/>
                <w:sz w:val="20"/>
                <w:szCs w:val="20"/>
              </w:rPr>
              <w:t>3</w:t>
            </w:r>
            <w:r w:rsidR="00EE63ED">
              <w:rPr>
                <w:rFonts w:cs="Times New Roman"/>
                <w:sz w:val="20"/>
                <w:szCs w:val="20"/>
              </w:rPr>
              <w:t>f</w:t>
            </w:r>
          </w:p>
        </w:tc>
        <w:tc>
          <w:tcPr>
            <w:tcW w:w="1453" w:type="pct"/>
          </w:tcPr>
          <w:p w:rsidR="008A0DCC" w:rsidRDefault="008A0DCC" w:rsidP="00665FD7">
            <w:pPr>
              <w:spacing w:line="276" w:lineRule="auto"/>
              <w:jc w:val="both"/>
              <w:rPr>
                <w:rFonts w:cs="Times New Roman"/>
                <w:sz w:val="20"/>
                <w:szCs w:val="20"/>
              </w:rPr>
            </w:pPr>
            <w:r>
              <w:rPr>
                <w:rFonts w:cs="Times New Roman"/>
                <w:sz w:val="20"/>
                <w:szCs w:val="20"/>
              </w:rPr>
              <w:t xml:space="preserve">Nie zostało sprecyzowane, </w:t>
            </w:r>
            <w:r w:rsidRPr="001C5627">
              <w:rPr>
                <w:rFonts w:cs="Times New Roman"/>
                <w:sz w:val="20"/>
                <w:szCs w:val="20"/>
              </w:rPr>
              <w:t>na jakiej podstawie uprawni</w:t>
            </w:r>
            <w:r>
              <w:rPr>
                <w:rFonts w:cs="Times New Roman"/>
                <w:sz w:val="20"/>
                <w:szCs w:val="20"/>
              </w:rPr>
              <w:t>enia do systemu zostaną nadan</w:t>
            </w:r>
            <w:r w:rsidR="005779EC">
              <w:rPr>
                <w:rFonts w:cs="Times New Roman"/>
                <w:sz w:val="20"/>
                <w:szCs w:val="20"/>
              </w:rPr>
              <w:t>e prezesom rad izb notarialnych</w:t>
            </w:r>
            <w:r w:rsidRPr="001C5627">
              <w:rPr>
                <w:rFonts w:cs="Times New Roman"/>
                <w:sz w:val="20"/>
                <w:szCs w:val="20"/>
              </w:rPr>
              <w:t>, a także kto będzie weryfikował, że da</w:t>
            </w:r>
            <w:r>
              <w:rPr>
                <w:rFonts w:cs="Times New Roman"/>
                <w:sz w:val="20"/>
                <w:szCs w:val="20"/>
              </w:rPr>
              <w:t>na osoba pełni funkcję prezesa</w:t>
            </w:r>
            <w:r w:rsidRPr="001C5627">
              <w:rPr>
                <w:rFonts w:cs="Times New Roman"/>
                <w:sz w:val="20"/>
                <w:szCs w:val="20"/>
              </w:rPr>
              <w:t>.</w:t>
            </w: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tc>
        <w:tc>
          <w:tcPr>
            <w:tcW w:w="2456" w:type="pct"/>
          </w:tcPr>
          <w:p w:rsidR="008A0DCC" w:rsidRDefault="008A0DCC" w:rsidP="0076298A">
            <w:pPr>
              <w:jc w:val="both"/>
              <w:rPr>
                <w:sz w:val="20"/>
                <w:szCs w:val="20"/>
              </w:rPr>
            </w:pPr>
            <w:r w:rsidRPr="006A58E0">
              <w:rPr>
                <w:b/>
                <w:sz w:val="20"/>
                <w:szCs w:val="20"/>
              </w:rPr>
              <w:t xml:space="preserve">Uwaga </w:t>
            </w:r>
            <w:r>
              <w:rPr>
                <w:b/>
                <w:sz w:val="20"/>
                <w:szCs w:val="20"/>
              </w:rPr>
              <w:t xml:space="preserve">nieuwzględniona – </w:t>
            </w:r>
            <w:r w:rsidRPr="00D935CF">
              <w:rPr>
                <w:sz w:val="20"/>
                <w:szCs w:val="20"/>
              </w:rPr>
              <w:t xml:space="preserve"> </w:t>
            </w:r>
            <w:r>
              <w:rPr>
                <w:sz w:val="20"/>
                <w:szCs w:val="20"/>
              </w:rPr>
              <w:t>nie wydaje się zasadne, by tak techniczn</w:t>
            </w:r>
            <w:r w:rsidR="005779EC">
              <w:rPr>
                <w:sz w:val="20"/>
                <w:szCs w:val="20"/>
              </w:rPr>
              <w:t>ą kwestię</w:t>
            </w:r>
            <w:r>
              <w:rPr>
                <w:sz w:val="20"/>
                <w:szCs w:val="20"/>
              </w:rPr>
              <w:t xml:space="preserve"> </w:t>
            </w:r>
            <w:r w:rsidR="005779EC">
              <w:rPr>
                <w:sz w:val="20"/>
                <w:szCs w:val="20"/>
              </w:rPr>
              <w:t>precyzowano</w:t>
            </w:r>
            <w:r>
              <w:rPr>
                <w:sz w:val="20"/>
                <w:szCs w:val="20"/>
              </w:rPr>
              <w:t xml:space="preserve"> </w:t>
            </w:r>
            <w:r w:rsidR="005779EC">
              <w:rPr>
                <w:sz w:val="20"/>
                <w:szCs w:val="20"/>
              </w:rPr>
              <w:t>przepisami</w:t>
            </w:r>
            <w:r>
              <w:rPr>
                <w:sz w:val="20"/>
                <w:szCs w:val="20"/>
              </w:rPr>
              <w:t xml:space="preserve"> rozporządzenia (</w:t>
            </w:r>
            <w:r w:rsidRPr="001E5F3A">
              <w:rPr>
                <w:i/>
                <w:sz w:val="20"/>
                <w:szCs w:val="20"/>
              </w:rPr>
              <w:t>vide</w:t>
            </w:r>
            <w:r>
              <w:rPr>
                <w:sz w:val="20"/>
                <w:szCs w:val="20"/>
              </w:rPr>
              <w:t xml:space="preserve">  odnoszące się do wojewodów rozporządzenie </w:t>
            </w:r>
            <w:r w:rsidR="00C00E36">
              <w:rPr>
                <w:sz w:val="20"/>
                <w:szCs w:val="20"/>
              </w:rPr>
              <w:t>MSWiA</w:t>
            </w:r>
            <w:r>
              <w:rPr>
                <w:sz w:val="20"/>
                <w:szCs w:val="20"/>
              </w:rPr>
              <w:t xml:space="preserve">  </w:t>
            </w:r>
            <w:r w:rsidR="00180EB5">
              <w:rPr>
                <w:sz w:val="20"/>
                <w:szCs w:val="20"/>
              </w:rPr>
              <w:t>z dnia 2 lipca 2019 r</w:t>
            </w:r>
            <w:r>
              <w:rPr>
                <w:sz w:val="20"/>
                <w:szCs w:val="20"/>
              </w:rPr>
              <w:t>.</w:t>
            </w:r>
            <w:r w:rsidR="00C00E36">
              <w:rPr>
                <w:sz w:val="20"/>
                <w:szCs w:val="20"/>
              </w:rPr>
              <w:t>)</w:t>
            </w:r>
            <w:r>
              <w:rPr>
                <w:sz w:val="20"/>
                <w:szCs w:val="20"/>
              </w:rPr>
              <w:t xml:space="preserve"> Konta koordynatorów delegowanych w systemie IMI będą zakładane przez upoważnionych ku temu pracowników Ministerstwa Sprawiedliwości, tj. resortu który zajmuje się kwestiami związanymi z nadzorem administracyjnym nad sądownictwem (Departament Nadzoru Administracyjnego) jak i </w:t>
            </w:r>
            <w:r w:rsidRPr="00A004EB">
              <w:rPr>
                <w:sz w:val="20"/>
                <w:szCs w:val="20"/>
              </w:rPr>
              <w:t>prowadzenie</w:t>
            </w:r>
            <w:r w:rsidR="00C00E36">
              <w:rPr>
                <w:sz w:val="20"/>
                <w:szCs w:val="20"/>
              </w:rPr>
              <w:t>m</w:t>
            </w:r>
            <w:r w:rsidRPr="00A004EB">
              <w:rPr>
                <w:sz w:val="20"/>
                <w:szCs w:val="20"/>
              </w:rPr>
              <w:t xml:space="preserve"> spraw związanych ze sprawowanym przez Ministra Sprawiedliwości nadzorem nad działalnością notariuszy i </w:t>
            </w:r>
            <w:r w:rsidR="005779EC">
              <w:rPr>
                <w:sz w:val="20"/>
                <w:szCs w:val="20"/>
              </w:rPr>
              <w:t>organami samorządu notarialnego</w:t>
            </w:r>
            <w:r w:rsidRPr="00A004EB">
              <w:rPr>
                <w:sz w:val="20"/>
                <w:szCs w:val="20"/>
              </w:rPr>
              <w:t xml:space="preserve"> </w:t>
            </w:r>
            <w:r>
              <w:rPr>
                <w:sz w:val="20"/>
                <w:szCs w:val="20"/>
              </w:rPr>
              <w:t>(Departament Zawodów Prawniczych). W sytuacji tej nie sposób zakładać, że konta zostaną założone podmiotom innym</w:t>
            </w:r>
            <w:r w:rsidR="005779EC">
              <w:rPr>
                <w:sz w:val="20"/>
                <w:szCs w:val="20"/>
              </w:rPr>
              <w:t xml:space="preserve"> osobom</w:t>
            </w:r>
            <w:r>
              <w:rPr>
                <w:sz w:val="20"/>
                <w:szCs w:val="20"/>
              </w:rPr>
              <w:t xml:space="preserve">, aniżeli sprawującym funkcje uprawniającą do wykonywania zadań koordynatora delegowanego.  </w:t>
            </w:r>
          </w:p>
          <w:p w:rsidR="008A0DCC" w:rsidRPr="00DA6091" w:rsidRDefault="008A0DCC" w:rsidP="00DA6091">
            <w:pPr>
              <w:jc w:val="both"/>
              <w:rPr>
                <w:sz w:val="20"/>
                <w:szCs w:val="20"/>
              </w:rPr>
            </w:pPr>
            <w:r>
              <w:rPr>
                <w:sz w:val="20"/>
                <w:szCs w:val="20"/>
              </w:rPr>
              <w:t>Równie niezasadn</w:t>
            </w:r>
            <w:r w:rsidR="001E5F3A">
              <w:rPr>
                <w:sz w:val="20"/>
                <w:szCs w:val="20"/>
              </w:rPr>
              <w:t>e są</w:t>
            </w:r>
            <w:r>
              <w:rPr>
                <w:sz w:val="20"/>
                <w:szCs w:val="20"/>
              </w:rPr>
              <w:t xml:space="preserve"> obawy, co do ewentualnej utraty prawa do pełnienia funkcji prezesa danej ra</w:t>
            </w:r>
            <w:r w:rsidR="001E5F3A">
              <w:rPr>
                <w:sz w:val="20"/>
                <w:szCs w:val="20"/>
              </w:rPr>
              <w:t>dy izby notarialnej. W prawie o </w:t>
            </w:r>
            <w:r>
              <w:rPr>
                <w:sz w:val="20"/>
                <w:szCs w:val="20"/>
              </w:rPr>
              <w:t>notariacie nie zastrzeżo</w:t>
            </w:r>
            <w:r w:rsidR="001E5F3A">
              <w:rPr>
                <w:sz w:val="20"/>
                <w:szCs w:val="20"/>
              </w:rPr>
              <w:t>no m</w:t>
            </w:r>
            <w:r w:rsidR="005C086E">
              <w:rPr>
                <w:sz w:val="20"/>
                <w:szCs w:val="20"/>
              </w:rPr>
              <w:t>echanizmów kontrolnych co do b</w:t>
            </w:r>
            <w:r w:rsidR="001E5F3A">
              <w:rPr>
                <w:sz w:val="20"/>
                <w:szCs w:val="20"/>
              </w:rPr>
              <w:t>adania,</w:t>
            </w:r>
            <w:r>
              <w:rPr>
                <w:sz w:val="20"/>
                <w:szCs w:val="20"/>
              </w:rPr>
              <w:t xml:space="preserve"> np. na potrzeby  pełnienia funkcji reprezentacyjnej  rady,</w:t>
            </w:r>
            <w:r w:rsidR="001E5F3A">
              <w:rPr>
                <w:sz w:val="20"/>
                <w:szCs w:val="20"/>
              </w:rPr>
              <w:t xml:space="preserve"> czy</w:t>
            </w:r>
            <w:r>
              <w:rPr>
                <w:sz w:val="20"/>
                <w:szCs w:val="20"/>
              </w:rPr>
              <w:t xml:space="preserve">  dana osoba w dalszym ciągu pozostaje prezesem  </w:t>
            </w:r>
            <w:proofErr w:type="spellStart"/>
            <w:r>
              <w:rPr>
                <w:sz w:val="20"/>
                <w:szCs w:val="20"/>
              </w:rPr>
              <w:t>r.i.n</w:t>
            </w:r>
            <w:proofErr w:type="spellEnd"/>
            <w:r>
              <w:rPr>
                <w:sz w:val="20"/>
                <w:szCs w:val="20"/>
              </w:rPr>
              <w:t>. Ewentualne dalsze pełnienie funkcji koordynatora delegowanego przez osobę, która nie sprawuje już funkcji uprawniającej ją do wykonywania zadań koordynatora należy rozpatrywać jako stypizowane w</w:t>
            </w:r>
            <w:r w:rsidRPr="004B1305">
              <w:rPr>
                <w:sz w:val="20"/>
                <w:szCs w:val="20"/>
              </w:rPr>
              <w:t xml:space="preserve"> </w:t>
            </w:r>
            <w:r w:rsidRPr="004B1305">
              <w:rPr>
                <w:bCs/>
                <w:sz w:val="20"/>
                <w:szCs w:val="20"/>
              </w:rPr>
              <w:t xml:space="preserve">art. 61 § 1 </w:t>
            </w:r>
            <w:r w:rsidRPr="00C00E36">
              <w:rPr>
                <w:bCs/>
                <w:i/>
                <w:sz w:val="20"/>
                <w:szCs w:val="20"/>
              </w:rPr>
              <w:t>Kodeksu wykroczeń</w:t>
            </w:r>
            <w:r w:rsidRPr="004B1305">
              <w:rPr>
                <w:bCs/>
                <w:sz w:val="20"/>
                <w:szCs w:val="20"/>
              </w:rPr>
              <w:t xml:space="preserve"> wprowadzanie innych osób w błąd poprzez przypisywanie sobie stanowiska, tytułu lub stopnia, którego się nie posiada.</w:t>
            </w:r>
            <w:r w:rsidR="0082330E">
              <w:rPr>
                <w:sz w:val="20"/>
                <w:szCs w:val="20"/>
              </w:rPr>
              <w:t xml:space="preserve"> Należy przy tym podkreślić, </w:t>
            </w:r>
            <w:r w:rsidR="0082330E">
              <w:rPr>
                <w:sz w:val="20"/>
                <w:szCs w:val="20"/>
              </w:rPr>
              <w:lastRenderedPageBreak/>
              <w:t>ż</w:t>
            </w:r>
            <w:r>
              <w:rPr>
                <w:sz w:val="20"/>
                <w:szCs w:val="20"/>
              </w:rPr>
              <w:t>e konta koordynatorów delegowanych</w:t>
            </w:r>
            <w:r w:rsidR="001C5E3C">
              <w:rPr>
                <w:sz w:val="20"/>
                <w:szCs w:val="20"/>
              </w:rPr>
              <w:t xml:space="preserve"> jako organów będą stanowiły skrzynkę odbiorczą, a upoważnione osoby wykonujące funkcje koordynatora</w:t>
            </w:r>
            <w:r>
              <w:rPr>
                <w:sz w:val="20"/>
                <w:szCs w:val="20"/>
              </w:rPr>
              <w:t>,</w:t>
            </w:r>
            <w:r w:rsidR="001C5E3C">
              <w:rPr>
                <w:sz w:val="20"/>
                <w:szCs w:val="20"/>
              </w:rPr>
              <w:t xml:space="preserve"> będą  posiadały do nich dostęp jako indywidua</w:t>
            </w:r>
            <w:r w:rsidR="005779EC">
              <w:rPr>
                <w:sz w:val="20"/>
                <w:szCs w:val="20"/>
              </w:rPr>
              <w:t>lni  użytkownicy systemu IMI. W </w:t>
            </w:r>
            <w:r w:rsidR="001C5E3C">
              <w:rPr>
                <w:sz w:val="20"/>
                <w:szCs w:val="20"/>
              </w:rPr>
              <w:t xml:space="preserve">przypadku zmiany personalnej dotyczącej danego koordynatora delegowanego, osoba </w:t>
            </w:r>
            <w:r w:rsidR="00D02BA4">
              <w:rPr>
                <w:sz w:val="20"/>
                <w:szCs w:val="20"/>
              </w:rPr>
              <w:t>mająca</w:t>
            </w:r>
            <w:r w:rsidR="001C5E3C">
              <w:rPr>
                <w:sz w:val="20"/>
                <w:szCs w:val="20"/>
              </w:rPr>
              <w:t xml:space="preserve"> wykonywać tą funkcję, będzie musiała </w:t>
            </w:r>
            <w:r w:rsidR="00D02BA4">
              <w:rPr>
                <w:sz w:val="20"/>
                <w:szCs w:val="20"/>
              </w:rPr>
              <w:t>zarejestrować</w:t>
            </w:r>
            <w:r w:rsidR="001C5E3C">
              <w:rPr>
                <w:sz w:val="20"/>
                <w:szCs w:val="20"/>
              </w:rPr>
              <w:t xml:space="preserve"> się w systemie IMI i uzyskać uprawnienia (od koordynatora </w:t>
            </w:r>
            <w:r w:rsidR="00087C2C">
              <w:rPr>
                <w:sz w:val="20"/>
                <w:szCs w:val="20"/>
              </w:rPr>
              <w:t>w MS), umożliwiające dostęp do skrzynki odbiorczej koordynatora delegowanego.</w:t>
            </w:r>
          </w:p>
        </w:tc>
      </w:tr>
      <w:tr w:rsidR="008A0DCC" w:rsidRPr="006A58E0" w:rsidTr="00482C75">
        <w:trPr>
          <w:trHeight w:val="95"/>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8A0DCC" w:rsidP="00665FD7">
            <w:pPr>
              <w:spacing w:line="276" w:lineRule="auto"/>
              <w:jc w:val="both"/>
              <w:rPr>
                <w:rFonts w:cs="Times New Roman"/>
                <w:sz w:val="20"/>
                <w:szCs w:val="20"/>
              </w:rPr>
            </w:pPr>
            <w:r>
              <w:rPr>
                <w:rFonts w:cs="Times New Roman"/>
                <w:sz w:val="20"/>
                <w:szCs w:val="20"/>
              </w:rPr>
              <w:t>3</w:t>
            </w:r>
            <w:r w:rsidR="00EE63ED">
              <w:rPr>
                <w:rFonts w:cs="Times New Roman"/>
                <w:sz w:val="20"/>
                <w:szCs w:val="20"/>
              </w:rPr>
              <w:t>g</w:t>
            </w: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tc>
        <w:tc>
          <w:tcPr>
            <w:tcW w:w="1453" w:type="pct"/>
          </w:tcPr>
          <w:p w:rsidR="008A0DCC" w:rsidRDefault="008A0DCC" w:rsidP="00142D19">
            <w:pPr>
              <w:spacing w:line="276" w:lineRule="auto"/>
              <w:jc w:val="both"/>
              <w:rPr>
                <w:rFonts w:cs="Times New Roman"/>
                <w:sz w:val="20"/>
                <w:szCs w:val="20"/>
              </w:rPr>
            </w:pPr>
            <w:r>
              <w:rPr>
                <w:rFonts w:cs="Times New Roman"/>
                <w:sz w:val="20"/>
                <w:szCs w:val="20"/>
              </w:rPr>
              <w:t>Uwaga dot</w:t>
            </w:r>
            <w:r w:rsidR="005779EC">
              <w:rPr>
                <w:rFonts w:cs="Times New Roman"/>
                <w:sz w:val="20"/>
                <w:szCs w:val="20"/>
              </w:rPr>
              <w:t>ycząca wątpliwości związanych z </w:t>
            </w:r>
            <w:r>
              <w:rPr>
                <w:rFonts w:cs="Times New Roman"/>
                <w:sz w:val="20"/>
                <w:szCs w:val="20"/>
              </w:rPr>
              <w:t xml:space="preserve">weryfikacją, dla kogo może zostać założone konto w IMI, problem z </w:t>
            </w:r>
            <w:r w:rsidR="00D02BA4">
              <w:rPr>
                <w:rFonts w:cs="Times New Roman"/>
                <w:sz w:val="20"/>
                <w:szCs w:val="20"/>
              </w:rPr>
              <w:t>treścią</w:t>
            </w:r>
            <w:r>
              <w:rPr>
                <w:rFonts w:cs="Times New Roman"/>
                <w:sz w:val="20"/>
                <w:szCs w:val="20"/>
              </w:rPr>
              <w:t xml:space="preserve"> art. 22a </w:t>
            </w:r>
            <w:r>
              <w:rPr>
                <w:rFonts w:ascii="Arial" w:hAnsi="Arial" w:cs="Arial"/>
                <w:sz w:val="20"/>
                <w:szCs w:val="20"/>
              </w:rPr>
              <w:t>§</w:t>
            </w:r>
            <w:r w:rsidR="00D02BA4">
              <w:rPr>
                <w:rFonts w:cs="Times New Roman"/>
                <w:sz w:val="20"/>
                <w:szCs w:val="20"/>
              </w:rPr>
              <w:t xml:space="preserve"> 1 </w:t>
            </w:r>
            <w:proofErr w:type="spellStart"/>
            <w:r w:rsidR="00D02BA4">
              <w:rPr>
                <w:rFonts w:cs="Times New Roman"/>
                <w:sz w:val="20"/>
                <w:szCs w:val="20"/>
              </w:rPr>
              <w:t>u.p.n</w:t>
            </w:r>
            <w:proofErr w:type="spellEnd"/>
            <w:r w:rsidR="00D02BA4">
              <w:rPr>
                <w:rFonts w:cs="Times New Roman"/>
                <w:sz w:val="20"/>
                <w:szCs w:val="20"/>
              </w:rPr>
              <w:t xml:space="preserve">. </w:t>
            </w:r>
            <w:r>
              <w:rPr>
                <w:rFonts w:cs="Times New Roman"/>
                <w:sz w:val="20"/>
                <w:szCs w:val="20"/>
              </w:rPr>
              <w:t xml:space="preserve"> (Strona 5 akapit drugi pisma Prezesa RIN w Krakowie)</w:t>
            </w:r>
          </w:p>
        </w:tc>
        <w:tc>
          <w:tcPr>
            <w:tcW w:w="2456" w:type="pct"/>
          </w:tcPr>
          <w:p w:rsidR="008A0DCC" w:rsidRPr="00087C2C" w:rsidRDefault="008A0DCC" w:rsidP="00087C2C">
            <w:pPr>
              <w:jc w:val="both"/>
              <w:rPr>
                <w:sz w:val="20"/>
                <w:szCs w:val="20"/>
              </w:rPr>
            </w:pPr>
            <w:r>
              <w:rPr>
                <w:b/>
                <w:sz w:val="20"/>
                <w:szCs w:val="20"/>
              </w:rPr>
              <w:t xml:space="preserve">Uwaga nieuwzględniona </w:t>
            </w:r>
            <w:r w:rsidRPr="00CC4CAE">
              <w:rPr>
                <w:sz w:val="20"/>
                <w:szCs w:val="20"/>
              </w:rPr>
              <w:t xml:space="preserve">– w piśmiennictwie i </w:t>
            </w:r>
            <w:r w:rsidR="00087C2C">
              <w:rPr>
                <w:sz w:val="20"/>
                <w:szCs w:val="20"/>
              </w:rPr>
              <w:t>judykaturze podkreśla się, że w </w:t>
            </w:r>
            <w:r w:rsidRPr="00CC4CAE">
              <w:rPr>
                <w:sz w:val="20"/>
                <w:szCs w:val="20"/>
              </w:rPr>
              <w:t xml:space="preserve">przypadku upoważnienia aplikanta notarialnego do wykonywania określonych czynności notarialnych jest  konieczność działania osoby upoważnionej równolegle z notariuszem, który udzielił upoważnienia.  Aplikant notarialny, jak i zastępca notarialny (art. 76a </w:t>
            </w:r>
            <w:proofErr w:type="spellStart"/>
            <w:r w:rsidRPr="00CC4CAE">
              <w:rPr>
                <w:sz w:val="20"/>
                <w:szCs w:val="20"/>
              </w:rPr>
              <w:t>u.p.n</w:t>
            </w:r>
            <w:proofErr w:type="spellEnd"/>
            <w:r w:rsidRPr="00CC4CAE">
              <w:rPr>
                <w:sz w:val="20"/>
                <w:szCs w:val="20"/>
              </w:rPr>
              <w:t>.) dokonując czy</w:t>
            </w:r>
            <w:r w:rsidR="00087C2C">
              <w:rPr>
                <w:sz w:val="20"/>
                <w:szCs w:val="20"/>
              </w:rPr>
              <w:t>nności notarialnych w oparciu o </w:t>
            </w:r>
            <w:r w:rsidRPr="00CC4CAE">
              <w:rPr>
                <w:sz w:val="20"/>
                <w:szCs w:val="20"/>
              </w:rPr>
              <w:t xml:space="preserve">udzielone im upoważnienia działają w imieniu i na rzecz notariusza, </w:t>
            </w:r>
            <w:r>
              <w:rPr>
                <w:sz w:val="20"/>
                <w:szCs w:val="20"/>
              </w:rPr>
              <w:t>który udzielił im upoważnienia, przy czym w</w:t>
            </w:r>
            <w:r w:rsidRPr="00CC4CAE">
              <w:rPr>
                <w:sz w:val="20"/>
                <w:szCs w:val="20"/>
              </w:rPr>
              <w:t xml:space="preserve"> myśl art. 22a § 4 </w:t>
            </w:r>
            <w:proofErr w:type="spellStart"/>
            <w:r w:rsidRPr="00CC4CAE">
              <w:rPr>
                <w:sz w:val="20"/>
                <w:szCs w:val="20"/>
              </w:rPr>
              <w:t>u.p.n</w:t>
            </w:r>
            <w:proofErr w:type="spellEnd"/>
            <w:r w:rsidRPr="00CC4CAE">
              <w:rPr>
                <w:sz w:val="20"/>
                <w:szCs w:val="20"/>
              </w:rPr>
              <w:t>. notariusz ponosi odpowiedzialność za szkodę wyrządzoną przez aplikanta notarialnego przy wykonywaniu czynności notarialnych. Zważa</w:t>
            </w:r>
            <w:r w:rsidR="00087C2C">
              <w:rPr>
                <w:sz w:val="20"/>
                <w:szCs w:val="20"/>
              </w:rPr>
              <w:t>jąc na istnienie repertoriów, w </w:t>
            </w:r>
            <w:r w:rsidRPr="00CC4CAE">
              <w:rPr>
                <w:sz w:val="20"/>
                <w:szCs w:val="20"/>
              </w:rPr>
              <w:t xml:space="preserve">których odnotowywane jest dokonanie czynności </w:t>
            </w:r>
            <w:r>
              <w:rPr>
                <w:sz w:val="20"/>
                <w:szCs w:val="20"/>
              </w:rPr>
              <w:t>notarialnych w danej kancelarii</w:t>
            </w:r>
            <w:r w:rsidRPr="00CC4CAE">
              <w:rPr>
                <w:sz w:val="20"/>
                <w:szCs w:val="20"/>
              </w:rPr>
              <w:t xml:space="preserve">, brak jest przeszkód do udzielania odpowiedzi o autentyczności </w:t>
            </w:r>
            <w:r>
              <w:rPr>
                <w:sz w:val="20"/>
                <w:szCs w:val="20"/>
              </w:rPr>
              <w:t>dokumentu</w:t>
            </w:r>
            <w:r w:rsidRPr="00CC4CAE">
              <w:rPr>
                <w:sz w:val="20"/>
                <w:szCs w:val="20"/>
              </w:rPr>
              <w:t xml:space="preserve"> sporządzonego przez aplikanta notarialnego lub zastępcę notarialnego, upoważnionego przez danego </w:t>
            </w:r>
            <w:r>
              <w:rPr>
                <w:sz w:val="20"/>
                <w:szCs w:val="20"/>
              </w:rPr>
              <w:t>notariusza, prowadzącego tą kancelarię.</w:t>
            </w:r>
          </w:p>
        </w:tc>
      </w:tr>
      <w:tr w:rsidR="008A0DCC" w:rsidRPr="006A58E0" w:rsidTr="00482C75">
        <w:trPr>
          <w:trHeight w:val="95"/>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8A0DCC" w:rsidP="00665FD7">
            <w:pPr>
              <w:spacing w:line="276" w:lineRule="auto"/>
              <w:jc w:val="both"/>
              <w:rPr>
                <w:rFonts w:cs="Times New Roman"/>
                <w:sz w:val="20"/>
                <w:szCs w:val="20"/>
              </w:rPr>
            </w:pPr>
            <w:r>
              <w:rPr>
                <w:rFonts w:cs="Times New Roman"/>
                <w:sz w:val="20"/>
                <w:szCs w:val="20"/>
              </w:rPr>
              <w:t>3</w:t>
            </w:r>
            <w:r w:rsidR="00EE63ED">
              <w:rPr>
                <w:rFonts w:cs="Times New Roman"/>
                <w:sz w:val="20"/>
                <w:szCs w:val="20"/>
              </w:rPr>
              <w:t>h</w:t>
            </w: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p w:rsidR="008A0DCC" w:rsidRDefault="008A0DCC" w:rsidP="00665FD7">
            <w:pPr>
              <w:spacing w:line="276" w:lineRule="auto"/>
              <w:jc w:val="both"/>
              <w:rPr>
                <w:rFonts w:cs="Times New Roman"/>
                <w:sz w:val="20"/>
                <w:szCs w:val="20"/>
              </w:rPr>
            </w:pPr>
          </w:p>
        </w:tc>
        <w:tc>
          <w:tcPr>
            <w:tcW w:w="1453" w:type="pct"/>
          </w:tcPr>
          <w:p w:rsidR="008A0DCC" w:rsidRDefault="008A0DCC" w:rsidP="00A6109E">
            <w:pPr>
              <w:spacing w:line="276" w:lineRule="auto"/>
              <w:jc w:val="both"/>
              <w:rPr>
                <w:rFonts w:cs="Times New Roman"/>
                <w:sz w:val="20"/>
                <w:szCs w:val="20"/>
              </w:rPr>
            </w:pPr>
            <w:r>
              <w:rPr>
                <w:rFonts w:cs="Times New Roman"/>
                <w:sz w:val="20"/>
                <w:szCs w:val="20"/>
              </w:rPr>
              <w:t xml:space="preserve">Nie jest jasne, </w:t>
            </w:r>
            <w:r w:rsidRPr="00A6109E">
              <w:rPr>
                <w:rFonts w:cs="Times New Roman"/>
                <w:sz w:val="20"/>
                <w:szCs w:val="20"/>
              </w:rPr>
              <w:t>dla kogo może zostać założone konto</w:t>
            </w:r>
            <w:r>
              <w:rPr>
                <w:rFonts w:cs="Times New Roman"/>
                <w:sz w:val="20"/>
                <w:szCs w:val="20"/>
              </w:rPr>
              <w:t xml:space="preserve"> w module systemu IMI</w:t>
            </w:r>
            <w:r w:rsidRPr="00A6109E">
              <w:rPr>
                <w:rFonts w:cs="Times New Roman"/>
                <w:sz w:val="20"/>
                <w:szCs w:val="20"/>
              </w:rPr>
              <w:t>. Czy rejestracji powinni podle</w:t>
            </w:r>
            <w:r w:rsidR="00A94677">
              <w:rPr>
                <w:rFonts w:cs="Times New Roman"/>
                <w:sz w:val="20"/>
                <w:szCs w:val="20"/>
              </w:rPr>
              <w:t>gać notariusze i to wyłącznie w </w:t>
            </w:r>
            <w:r w:rsidRPr="00A6109E">
              <w:rPr>
                <w:rFonts w:cs="Times New Roman"/>
                <w:sz w:val="20"/>
                <w:szCs w:val="20"/>
              </w:rPr>
              <w:t>przypadku, gdy skierowano pytanie dotyczące podejmowanych przez nich osobiście czynności notarialnych, czy jednak zakres dostępu do systemu powinien być szerszy -</w:t>
            </w:r>
            <w:r>
              <w:rPr>
                <w:rFonts w:cs="Times New Roman"/>
                <w:sz w:val="20"/>
                <w:szCs w:val="20"/>
              </w:rPr>
              <w:t xml:space="preserve"> </w:t>
            </w:r>
            <w:r w:rsidR="00A94677">
              <w:rPr>
                <w:rFonts w:cs="Times New Roman"/>
                <w:sz w:val="20"/>
                <w:szCs w:val="20"/>
              </w:rPr>
              <w:t>tj. </w:t>
            </w:r>
            <w:r w:rsidRPr="00A6109E">
              <w:rPr>
                <w:rFonts w:cs="Times New Roman"/>
                <w:sz w:val="20"/>
                <w:szCs w:val="20"/>
              </w:rPr>
              <w:t>obejmować też</w:t>
            </w:r>
            <w:r w:rsidR="00A94677">
              <w:rPr>
                <w:rFonts w:cs="Times New Roman"/>
                <w:sz w:val="20"/>
                <w:szCs w:val="20"/>
              </w:rPr>
              <w:t xml:space="preserve"> m.in. zastępców notarialnych i </w:t>
            </w:r>
            <w:r w:rsidRPr="00A6109E">
              <w:rPr>
                <w:rFonts w:cs="Times New Roman"/>
                <w:sz w:val="20"/>
                <w:szCs w:val="20"/>
              </w:rPr>
              <w:t>aplikantów notarialnych</w:t>
            </w:r>
            <w:r>
              <w:rPr>
                <w:rFonts w:cs="Times New Roman"/>
                <w:sz w:val="20"/>
                <w:szCs w:val="20"/>
              </w:rPr>
              <w:t>.</w:t>
            </w:r>
          </w:p>
        </w:tc>
        <w:tc>
          <w:tcPr>
            <w:tcW w:w="2456" w:type="pct"/>
          </w:tcPr>
          <w:p w:rsidR="008A0DCC" w:rsidRPr="00D9302E" w:rsidRDefault="008A0DCC" w:rsidP="00D9302E">
            <w:pPr>
              <w:jc w:val="both"/>
              <w:rPr>
                <w:sz w:val="20"/>
                <w:szCs w:val="20"/>
              </w:rPr>
            </w:pPr>
            <w:r w:rsidRPr="007262D7">
              <w:rPr>
                <w:b/>
                <w:sz w:val="20"/>
                <w:szCs w:val="20"/>
              </w:rPr>
              <w:t xml:space="preserve">Uwaga nieuwzględniona – </w:t>
            </w:r>
            <w:r w:rsidRPr="007262D7">
              <w:rPr>
                <w:sz w:val="20"/>
                <w:szCs w:val="20"/>
              </w:rPr>
              <w:t xml:space="preserve">w piśmiennictwie i </w:t>
            </w:r>
            <w:r w:rsidR="00087C2C">
              <w:rPr>
                <w:sz w:val="20"/>
                <w:szCs w:val="20"/>
              </w:rPr>
              <w:t>judykaturze podkreśla się, że w </w:t>
            </w:r>
            <w:r w:rsidRPr="007262D7">
              <w:rPr>
                <w:sz w:val="20"/>
                <w:szCs w:val="20"/>
              </w:rPr>
              <w:t>przypadku upoważnienia aplikanta notarialnego do wykonywania określonych czynności notarialnych</w:t>
            </w:r>
            <w:r>
              <w:rPr>
                <w:sz w:val="20"/>
                <w:szCs w:val="20"/>
              </w:rPr>
              <w:t xml:space="preserve"> charakterystyczną cechą</w:t>
            </w:r>
            <w:r w:rsidRPr="007262D7">
              <w:rPr>
                <w:sz w:val="20"/>
                <w:szCs w:val="20"/>
              </w:rPr>
              <w:t xml:space="preserve"> jest  konieczność działania osoby upoważnionej równolegle z notariuszem, który udzielił upoważnien</w:t>
            </w:r>
            <w:r>
              <w:rPr>
                <w:sz w:val="20"/>
                <w:szCs w:val="20"/>
              </w:rPr>
              <w:t>ia</w:t>
            </w:r>
            <w:r w:rsidR="00D9302E">
              <w:rPr>
                <w:sz w:val="20"/>
                <w:szCs w:val="20"/>
              </w:rPr>
              <w:t xml:space="preserve"> (zob. red. A. </w:t>
            </w:r>
            <w:r w:rsidR="00D9302E" w:rsidRPr="00D9302E">
              <w:rPr>
                <w:sz w:val="20"/>
                <w:szCs w:val="20"/>
              </w:rPr>
              <w:t xml:space="preserve">Rataj, </w:t>
            </w:r>
            <w:r w:rsidR="00D9302E">
              <w:rPr>
                <w:sz w:val="20"/>
                <w:szCs w:val="20"/>
              </w:rPr>
              <w:t xml:space="preserve">J. </w:t>
            </w:r>
            <w:proofErr w:type="spellStart"/>
            <w:r w:rsidR="00D9302E" w:rsidRPr="00D9302E">
              <w:rPr>
                <w:sz w:val="20"/>
                <w:szCs w:val="20"/>
              </w:rPr>
              <w:t>Szereda</w:t>
            </w:r>
            <w:proofErr w:type="spellEnd"/>
            <w:r w:rsidR="00D9302E">
              <w:rPr>
                <w:sz w:val="20"/>
                <w:szCs w:val="20"/>
              </w:rPr>
              <w:t xml:space="preserve">, </w:t>
            </w:r>
            <w:r w:rsidR="00D9302E">
              <w:rPr>
                <w:i/>
                <w:sz w:val="20"/>
                <w:szCs w:val="20"/>
              </w:rPr>
              <w:t>Ko</w:t>
            </w:r>
            <w:r w:rsidR="00D9302E" w:rsidRPr="00D9302E">
              <w:rPr>
                <w:i/>
                <w:sz w:val="20"/>
                <w:szCs w:val="20"/>
              </w:rPr>
              <w:t>mentarz do art. 22a</w:t>
            </w:r>
            <w:r w:rsidR="00D9302E">
              <w:rPr>
                <w:sz w:val="20"/>
                <w:szCs w:val="20"/>
              </w:rPr>
              <w:t xml:space="preserve">, w: </w:t>
            </w:r>
            <w:r w:rsidR="00D9302E" w:rsidRPr="00D9302E">
              <w:rPr>
                <w:i/>
                <w:sz w:val="20"/>
                <w:szCs w:val="20"/>
              </w:rPr>
              <w:t>Ustrój notariatu. Komentarz do art. 1–78d Prawa o notariacie</w:t>
            </w:r>
            <w:r w:rsidR="00D9302E">
              <w:rPr>
                <w:i/>
                <w:sz w:val="20"/>
                <w:szCs w:val="20"/>
              </w:rPr>
              <w:t xml:space="preserve">, </w:t>
            </w:r>
            <w:r w:rsidR="00D9302E" w:rsidRPr="00D9302E">
              <w:rPr>
                <w:sz w:val="20"/>
                <w:szCs w:val="20"/>
              </w:rPr>
              <w:t>Warszawa 2019</w:t>
            </w:r>
            <w:r w:rsidR="00D9302E">
              <w:rPr>
                <w:sz w:val="20"/>
                <w:szCs w:val="20"/>
              </w:rPr>
              <w:t xml:space="preserve">). </w:t>
            </w:r>
            <w:r>
              <w:rPr>
                <w:sz w:val="20"/>
                <w:szCs w:val="20"/>
              </w:rPr>
              <w:t>Aplikant notarialny, jak i </w:t>
            </w:r>
            <w:r w:rsidRPr="007262D7">
              <w:rPr>
                <w:sz w:val="20"/>
                <w:szCs w:val="20"/>
              </w:rPr>
              <w:t xml:space="preserve">zastępca notarialny dokonując czynności notarialnych w oparciu o udzielone im upoważnienia działają w imieniu i na rzecz notariusza, który udzielił im upoważnienia, </w:t>
            </w:r>
            <w:r>
              <w:rPr>
                <w:sz w:val="20"/>
                <w:szCs w:val="20"/>
              </w:rPr>
              <w:t>a</w:t>
            </w:r>
            <w:r w:rsidRPr="007262D7">
              <w:rPr>
                <w:sz w:val="20"/>
                <w:szCs w:val="20"/>
              </w:rPr>
              <w:t xml:space="preserve"> w myśl art. 22a § 4 </w:t>
            </w:r>
            <w:proofErr w:type="spellStart"/>
            <w:r w:rsidRPr="007262D7">
              <w:rPr>
                <w:sz w:val="20"/>
                <w:szCs w:val="20"/>
              </w:rPr>
              <w:t>u.p.n</w:t>
            </w:r>
            <w:proofErr w:type="spellEnd"/>
            <w:r w:rsidRPr="007262D7">
              <w:rPr>
                <w:sz w:val="20"/>
                <w:szCs w:val="20"/>
              </w:rPr>
              <w:t>. notariusz ponosi odpowiedzialność za szkodę wyrządzoną przez aplikanta notarialnego przy wykonywaniu czynności notarialnych. Zważając na</w:t>
            </w:r>
            <w:r>
              <w:rPr>
                <w:sz w:val="20"/>
                <w:szCs w:val="20"/>
              </w:rPr>
              <w:t xml:space="preserve"> nałożony </w:t>
            </w:r>
            <w:r w:rsidRPr="00447F6F">
              <w:rPr>
                <w:bCs/>
                <w:i/>
                <w:sz w:val="20"/>
                <w:szCs w:val="20"/>
              </w:rPr>
              <w:t>rozporządze</w:t>
            </w:r>
            <w:r w:rsidR="00667155">
              <w:rPr>
                <w:bCs/>
                <w:i/>
                <w:sz w:val="20"/>
                <w:szCs w:val="20"/>
              </w:rPr>
              <w:t>niem Ministra Sprawiedliwości z </w:t>
            </w:r>
            <w:r w:rsidRPr="00447F6F">
              <w:rPr>
                <w:bCs/>
                <w:i/>
                <w:sz w:val="20"/>
                <w:szCs w:val="20"/>
              </w:rPr>
              <w:t>dnia 12 kwietnia 1991 r. w sprawie </w:t>
            </w:r>
            <w:bookmarkStart w:id="2" w:name="highlightHit_0"/>
            <w:bookmarkEnd w:id="2"/>
            <w:r w:rsidRPr="00447F6F">
              <w:rPr>
                <w:bCs/>
                <w:i/>
                <w:sz w:val="20"/>
                <w:szCs w:val="20"/>
              </w:rPr>
              <w:t>prowadzenia </w:t>
            </w:r>
            <w:bookmarkStart w:id="3" w:name="highlightHit_1"/>
            <w:bookmarkEnd w:id="3"/>
            <w:r w:rsidRPr="00447F6F">
              <w:rPr>
                <w:bCs/>
                <w:i/>
                <w:sz w:val="20"/>
                <w:szCs w:val="20"/>
              </w:rPr>
              <w:t>ksiąg </w:t>
            </w:r>
            <w:bookmarkStart w:id="4" w:name="highlightHit_2"/>
            <w:bookmarkEnd w:id="4"/>
            <w:r w:rsidRPr="00447F6F">
              <w:rPr>
                <w:bCs/>
                <w:i/>
                <w:sz w:val="20"/>
                <w:szCs w:val="20"/>
              </w:rPr>
              <w:t>notarialnych oraz przekazywania na przechowanie dokumentów sądom rejonowym</w:t>
            </w:r>
            <w:r w:rsidR="00447F6F">
              <w:rPr>
                <w:bCs/>
                <w:sz w:val="20"/>
                <w:szCs w:val="20"/>
              </w:rPr>
              <w:t xml:space="preserve"> (dalej jako: „</w:t>
            </w:r>
            <w:r>
              <w:rPr>
                <w:bCs/>
                <w:sz w:val="20"/>
                <w:szCs w:val="20"/>
              </w:rPr>
              <w:t>rozporządzenie w sprawie prowadzenia ksiąg notarialnych</w:t>
            </w:r>
            <w:r w:rsidR="00447F6F">
              <w:rPr>
                <w:bCs/>
                <w:sz w:val="20"/>
                <w:szCs w:val="20"/>
              </w:rPr>
              <w:t>”</w:t>
            </w:r>
            <w:r>
              <w:rPr>
                <w:bCs/>
                <w:sz w:val="20"/>
                <w:szCs w:val="20"/>
              </w:rPr>
              <w:t>)</w:t>
            </w:r>
            <w:r>
              <w:rPr>
                <w:sz w:val="20"/>
                <w:szCs w:val="20"/>
              </w:rPr>
              <w:t xml:space="preserve"> obowiązek prowadzenia </w:t>
            </w:r>
            <w:r w:rsidRPr="007262D7">
              <w:rPr>
                <w:sz w:val="20"/>
                <w:szCs w:val="20"/>
              </w:rPr>
              <w:t>repertoriów, w</w:t>
            </w:r>
            <w:r>
              <w:rPr>
                <w:sz w:val="20"/>
                <w:szCs w:val="20"/>
              </w:rPr>
              <w:t xml:space="preserve"> tym Repertoriów A, w </w:t>
            </w:r>
            <w:r w:rsidRPr="007262D7">
              <w:rPr>
                <w:sz w:val="20"/>
                <w:szCs w:val="20"/>
              </w:rPr>
              <w:t xml:space="preserve"> których</w:t>
            </w:r>
            <w:r>
              <w:rPr>
                <w:sz w:val="20"/>
                <w:szCs w:val="20"/>
              </w:rPr>
              <w:t xml:space="preserve"> wpisuje się </w:t>
            </w:r>
            <w:r w:rsidR="00087C2C">
              <w:rPr>
                <w:sz w:val="20"/>
                <w:szCs w:val="20"/>
              </w:rPr>
              <w:lastRenderedPageBreak/>
              <w:t>w </w:t>
            </w:r>
            <w:r w:rsidRPr="00CC2290">
              <w:rPr>
                <w:sz w:val="20"/>
                <w:szCs w:val="20"/>
              </w:rPr>
              <w:t>porządku chronologicznym wszystkie</w:t>
            </w:r>
            <w:r>
              <w:rPr>
                <w:sz w:val="20"/>
                <w:szCs w:val="20"/>
              </w:rPr>
              <w:t xml:space="preserve"> </w:t>
            </w:r>
            <w:r w:rsidRPr="00CC2290">
              <w:rPr>
                <w:sz w:val="20"/>
                <w:szCs w:val="20"/>
              </w:rPr>
              <w:t>czynności notarialne</w:t>
            </w:r>
            <w:r>
              <w:rPr>
                <w:sz w:val="20"/>
                <w:szCs w:val="20"/>
              </w:rPr>
              <w:t xml:space="preserve"> wraz z krótką treścią czynności</w:t>
            </w:r>
            <w:r w:rsidRPr="006601BC">
              <w:rPr>
                <w:sz w:val="20"/>
                <w:szCs w:val="20"/>
              </w:rPr>
              <w:t>,</w:t>
            </w:r>
            <w:r>
              <w:rPr>
                <w:sz w:val="20"/>
                <w:szCs w:val="20"/>
              </w:rPr>
              <w:t xml:space="preserve"> </w:t>
            </w:r>
            <w:r w:rsidRPr="007262D7">
              <w:rPr>
                <w:sz w:val="20"/>
                <w:szCs w:val="20"/>
              </w:rPr>
              <w:t xml:space="preserve"> </w:t>
            </w:r>
            <w:r>
              <w:rPr>
                <w:sz w:val="20"/>
                <w:szCs w:val="20"/>
              </w:rPr>
              <w:t xml:space="preserve">tym samym w ocenie DLPC </w:t>
            </w:r>
            <w:r w:rsidRPr="007262D7">
              <w:rPr>
                <w:sz w:val="20"/>
                <w:szCs w:val="20"/>
              </w:rPr>
              <w:t xml:space="preserve">brak jest przeszkód do udzielania odpowiedzi </w:t>
            </w:r>
            <w:r>
              <w:rPr>
                <w:sz w:val="20"/>
                <w:szCs w:val="20"/>
              </w:rPr>
              <w:t xml:space="preserve">przez notariusza </w:t>
            </w:r>
            <w:r w:rsidRPr="007262D7">
              <w:rPr>
                <w:sz w:val="20"/>
                <w:szCs w:val="20"/>
              </w:rPr>
              <w:t xml:space="preserve">o autentyczności dokumentu sporządzonego przez </w:t>
            </w:r>
            <w:r>
              <w:rPr>
                <w:sz w:val="20"/>
                <w:szCs w:val="20"/>
              </w:rPr>
              <w:t xml:space="preserve">upoważnionego przez niego </w:t>
            </w:r>
            <w:r w:rsidRPr="007262D7">
              <w:rPr>
                <w:sz w:val="20"/>
                <w:szCs w:val="20"/>
              </w:rPr>
              <w:t>aplikanta notarialnego lub zastępcę notarialnego</w:t>
            </w:r>
            <w:r>
              <w:rPr>
                <w:sz w:val="20"/>
                <w:szCs w:val="20"/>
              </w:rPr>
              <w:t>.</w:t>
            </w:r>
          </w:p>
        </w:tc>
      </w:tr>
      <w:tr w:rsidR="008A0DCC" w:rsidRPr="006A58E0" w:rsidTr="00482C75">
        <w:trPr>
          <w:trHeight w:val="95"/>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8A0DCC" w:rsidP="00EE63ED">
            <w:pPr>
              <w:spacing w:line="276" w:lineRule="auto"/>
              <w:jc w:val="both"/>
              <w:rPr>
                <w:rFonts w:cs="Times New Roman"/>
                <w:sz w:val="20"/>
                <w:szCs w:val="20"/>
              </w:rPr>
            </w:pPr>
            <w:r>
              <w:rPr>
                <w:rFonts w:cs="Times New Roman"/>
                <w:sz w:val="20"/>
                <w:szCs w:val="20"/>
              </w:rPr>
              <w:t>3</w:t>
            </w:r>
            <w:r w:rsidR="00EE63ED">
              <w:rPr>
                <w:rFonts w:cs="Times New Roman"/>
                <w:sz w:val="20"/>
                <w:szCs w:val="20"/>
              </w:rPr>
              <w:t>i</w:t>
            </w:r>
          </w:p>
        </w:tc>
        <w:tc>
          <w:tcPr>
            <w:tcW w:w="1453" w:type="pct"/>
          </w:tcPr>
          <w:p w:rsidR="008A0DCC" w:rsidRDefault="008A0DCC" w:rsidP="00A6109E">
            <w:pPr>
              <w:spacing w:line="276" w:lineRule="auto"/>
              <w:jc w:val="both"/>
              <w:rPr>
                <w:rFonts w:cs="Times New Roman"/>
                <w:sz w:val="20"/>
                <w:szCs w:val="20"/>
              </w:rPr>
            </w:pPr>
            <w:r>
              <w:rPr>
                <w:rFonts w:cs="Times New Roman"/>
                <w:sz w:val="20"/>
                <w:szCs w:val="20"/>
              </w:rPr>
              <w:t>Brak jasności co do podmiotu potwierdzającego autentyczność dokumentu, w sytuacji, w której notariusz zap</w:t>
            </w:r>
            <w:r w:rsidR="00D622E4">
              <w:rPr>
                <w:rFonts w:cs="Times New Roman"/>
                <w:sz w:val="20"/>
                <w:szCs w:val="20"/>
              </w:rPr>
              <w:t>rzestanie wykonywania zawodu, a </w:t>
            </w:r>
            <w:r>
              <w:rPr>
                <w:rFonts w:cs="Times New Roman"/>
                <w:sz w:val="20"/>
                <w:szCs w:val="20"/>
              </w:rPr>
              <w:t xml:space="preserve">co za tym idzie odnośnie tego, do kogo winien zostać przekierowany wniosek. </w:t>
            </w:r>
          </w:p>
        </w:tc>
        <w:tc>
          <w:tcPr>
            <w:tcW w:w="2456" w:type="pct"/>
          </w:tcPr>
          <w:p w:rsidR="00A94677" w:rsidRDefault="00D90EC0" w:rsidP="00B92FE6">
            <w:pPr>
              <w:jc w:val="both"/>
              <w:rPr>
                <w:sz w:val="20"/>
                <w:szCs w:val="20"/>
              </w:rPr>
            </w:pPr>
            <w:r>
              <w:rPr>
                <w:b/>
                <w:sz w:val="20"/>
                <w:szCs w:val="20"/>
              </w:rPr>
              <w:t xml:space="preserve">Uwaga nieuwzględniona - </w:t>
            </w:r>
            <w:r w:rsidR="008A0DCC" w:rsidRPr="000860FE">
              <w:rPr>
                <w:sz w:val="20"/>
                <w:szCs w:val="20"/>
              </w:rPr>
              <w:t>Pytanie to</w:t>
            </w:r>
            <w:r w:rsidR="008A0DCC">
              <w:rPr>
                <w:sz w:val="20"/>
                <w:szCs w:val="20"/>
              </w:rPr>
              <w:t xml:space="preserve"> </w:t>
            </w:r>
            <w:r w:rsidR="00495D20">
              <w:rPr>
                <w:sz w:val="20"/>
                <w:szCs w:val="20"/>
              </w:rPr>
              <w:t xml:space="preserve">w zasadzie </w:t>
            </w:r>
            <w:r w:rsidR="008A0DCC">
              <w:rPr>
                <w:sz w:val="20"/>
                <w:szCs w:val="20"/>
              </w:rPr>
              <w:t>odnosi się do wykładni</w:t>
            </w:r>
            <w:r w:rsidR="008A0DCC" w:rsidRPr="000860FE">
              <w:rPr>
                <w:sz w:val="20"/>
                <w:szCs w:val="20"/>
              </w:rPr>
              <w:t xml:space="preserve"> </w:t>
            </w:r>
            <w:r w:rsidR="008A0DCC">
              <w:rPr>
                <w:sz w:val="20"/>
                <w:szCs w:val="20"/>
              </w:rPr>
              <w:t>rozporządzenia 2016/1191 oraz ustawy implementującej</w:t>
            </w:r>
            <w:r w:rsidR="00A94677">
              <w:rPr>
                <w:sz w:val="20"/>
                <w:szCs w:val="20"/>
              </w:rPr>
              <w:t>, a nie dotyczy treści projektowanego rozporządzenia</w:t>
            </w:r>
            <w:r w:rsidR="008A0DCC">
              <w:rPr>
                <w:sz w:val="20"/>
                <w:szCs w:val="20"/>
              </w:rPr>
              <w:t>.</w:t>
            </w:r>
          </w:p>
          <w:p w:rsidR="00D02BA4" w:rsidRDefault="00A94677" w:rsidP="00E37A13">
            <w:pPr>
              <w:jc w:val="both"/>
              <w:rPr>
                <w:sz w:val="20"/>
                <w:szCs w:val="20"/>
              </w:rPr>
            </w:pPr>
            <w:r>
              <w:rPr>
                <w:sz w:val="20"/>
                <w:szCs w:val="20"/>
              </w:rPr>
              <w:t xml:space="preserve"> </w:t>
            </w:r>
            <w:r w:rsidR="008A0DCC" w:rsidRPr="00BE49AB">
              <w:rPr>
                <w:sz w:val="20"/>
                <w:szCs w:val="20"/>
              </w:rPr>
              <w:t>Zgodnie z art. 14 ust. 1 lit. b) rozporządzenia</w:t>
            </w:r>
            <w:r>
              <w:rPr>
                <w:sz w:val="20"/>
                <w:szCs w:val="20"/>
              </w:rPr>
              <w:t xml:space="preserve"> 2016/1191</w:t>
            </w:r>
            <w:r w:rsidR="008A0DCC" w:rsidRPr="00BE49AB">
              <w:rPr>
                <w:sz w:val="20"/>
                <w:szCs w:val="20"/>
              </w:rPr>
              <w:t>, gdy pomimo  sprawdzenia w repozytorium IMI dostępnych wzorów dokumentów, po stronie organu państwa członkowskiego, w którym przedłożono dokument urzędowy lub jego kopię poświadczoną za zgodność z oryginałem występują uzasadnione wątpliwości co do autentyczności takiego dokumentu urzędowego lub jego kopii poświadczonej za zgodność z oryginałem, ma on możliwość wystosowania za pośrednictwem IMI wniosku o udzielenie informacji</w:t>
            </w:r>
            <w:r>
              <w:rPr>
                <w:sz w:val="20"/>
                <w:szCs w:val="20"/>
              </w:rPr>
              <w:t xml:space="preserve"> </w:t>
            </w:r>
            <w:r w:rsidR="008A0DCC" w:rsidRPr="00BE49AB">
              <w:rPr>
                <w:sz w:val="20"/>
                <w:szCs w:val="20"/>
              </w:rPr>
              <w:t>do organu, który wydał dokument urzędowy, lub, w stosownych przypadkach, do organu, który sporządził kopię potwierdzoną za zgodność z oryginałem, lub do obu tych organów, lub do odpowiedniego organu centralnego.</w:t>
            </w:r>
            <w:r w:rsidR="00D02BA4">
              <w:rPr>
                <w:sz w:val="20"/>
                <w:szCs w:val="20"/>
              </w:rPr>
              <w:t xml:space="preserve">  </w:t>
            </w:r>
          </w:p>
          <w:p w:rsidR="00A94677" w:rsidRDefault="00A94677" w:rsidP="00532DB0">
            <w:pPr>
              <w:jc w:val="both"/>
              <w:rPr>
                <w:sz w:val="20"/>
                <w:szCs w:val="20"/>
              </w:rPr>
            </w:pPr>
            <w:r>
              <w:rPr>
                <w:sz w:val="20"/>
                <w:szCs w:val="20"/>
              </w:rPr>
              <w:t xml:space="preserve">Zasadniczo </w:t>
            </w:r>
            <w:r w:rsidR="008A0DCC">
              <w:rPr>
                <w:sz w:val="20"/>
                <w:szCs w:val="20"/>
              </w:rPr>
              <w:t xml:space="preserve"> wniosek kierowany  względem danego notariusza, który nie wykonuje już swej profesji, winien zostać skierowany do niego, jako wystawcy dokumentu. W przypadku dokumentów sporządzanych przez notariuszy dochodzi </w:t>
            </w:r>
            <w:r>
              <w:rPr>
                <w:sz w:val="20"/>
                <w:szCs w:val="20"/>
              </w:rPr>
              <w:t xml:space="preserve">jednak </w:t>
            </w:r>
            <w:r w:rsidR="008A0DCC">
              <w:rPr>
                <w:sz w:val="20"/>
                <w:szCs w:val="20"/>
              </w:rPr>
              <w:t>do specyficznej sytuacji, nie mającej miejsca w przypadku np. wojewodów i sądów,  gdyż w przypadku zakończenia  funkcjonowania danej osoby jako no</w:t>
            </w:r>
            <w:r>
              <w:rPr>
                <w:sz w:val="20"/>
                <w:szCs w:val="20"/>
              </w:rPr>
              <w:t>tariusza, brak jest oficjalnego</w:t>
            </w:r>
            <w:r w:rsidR="008A0DCC">
              <w:rPr>
                <w:sz w:val="20"/>
                <w:szCs w:val="20"/>
              </w:rPr>
              <w:t xml:space="preserve"> następstwa prawnego i organizacyjne</w:t>
            </w:r>
            <w:r>
              <w:rPr>
                <w:sz w:val="20"/>
                <w:szCs w:val="20"/>
              </w:rPr>
              <w:t>go. Nie można uznać, ż</w:t>
            </w:r>
            <w:r w:rsidR="008A0DCC">
              <w:rPr>
                <w:sz w:val="20"/>
                <w:szCs w:val="20"/>
              </w:rPr>
              <w:t>e dany organ (notariusz) dalej istnieje</w:t>
            </w:r>
            <w:r w:rsidR="00D02BA4">
              <w:rPr>
                <w:sz w:val="20"/>
                <w:szCs w:val="20"/>
              </w:rPr>
              <w:t xml:space="preserve"> (wykonuje praktykę)</w:t>
            </w:r>
            <w:r w:rsidR="00447F6F">
              <w:rPr>
                <w:sz w:val="20"/>
                <w:szCs w:val="20"/>
              </w:rPr>
              <w:t>, a </w:t>
            </w:r>
            <w:r w:rsidR="008A0DCC">
              <w:rPr>
                <w:sz w:val="20"/>
                <w:szCs w:val="20"/>
              </w:rPr>
              <w:t xml:space="preserve">co za tym idzie, by można było </w:t>
            </w:r>
            <w:r w:rsidR="008A0DCC" w:rsidRPr="00E37A13">
              <w:rPr>
                <w:sz w:val="20"/>
                <w:szCs w:val="20"/>
              </w:rPr>
              <w:t xml:space="preserve">za pośrednictwem IMI </w:t>
            </w:r>
            <w:r w:rsidR="008A0DCC">
              <w:rPr>
                <w:sz w:val="20"/>
                <w:szCs w:val="20"/>
              </w:rPr>
              <w:t xml:space="preserve">wystosować do niego </w:t>
            </w:r>
            <w:r w:rsidR="008A0DCC" w:rsidRPr="00E37A13">
              <w:rPr>
                <w:sz w:val="20"/>
                <w:szCs w:val="20"/>
              </w:rPr>
              <w:t>wnios</w:t>
            </w:r>
            <w:r w:rsidR="008A0DCC">
              <w:rPr>
                <w:sz w:val="20"/>
                <w:szCs w:val="20"/>
              </w:rPr>
              <w:t>ek</w:t>
            </w:r>
            <w:r>
              <w:rPr>
                <w:sz w:val="20"/>
                <w:szCs w:val="20"/>
              </w:rPr>
              <w:t xml:space="preserve"> o </w:t>
            </w:r>
            <w:r w:rsidR="008A0DCC" w:rsidRPr="00E37A13">
              <w:rPr>
                <w:sz w:val="20"/>
                <w:szCs w:val="20"/>
              </w:rPr>
              <w:t>udzielenie informacji</w:t>
            </w:r>
            <w:r w:rsidR="008A0DCC">
              <w:rPr>
                <w:sz w:val="20"/>
                <w:szCs w:val="20"/>
              </w:rPr>
              <w:t>. Jak wyżej wskazano, wniosek ten jest bowiem kierowany</w:t>
            </w:r>
            <w:r w:rsidR="00D02BA4">
              <w:rPr>
                <w:sz w:val="20"/>
                <w:szCs w:val="20"/>
              </w:rPr>
              <w:t xml:space="preserve"> </w:t>
            </w:r>
            <w:r w:rsidR="008A0DCC" w:rsidRPr="00E37A13">
              <w:rPr>
                <w:sz w:val="20"/>
                <w:szCs w:val="20"/>
              </w:rPr>
              <w:t>do organu, który wydał dokument urzędow</w:t>
            </w:r>
            <w:r>
              <w:rPr>
                <w:sz w:val="20"/>
                <w:szCs w:val="20"/>
              </w:rPr>
              <w:t>y, lub - w stosownych przypadkach -</w:t>
            </w:r>
            <w:r w:rsidR="008A0DCC" w:rsidRPr="00E37A13">
              <w:rPr>
                <w:sz w:val="20"/>
                <w:szCs w:val="20"/>
              </w:rPr>
              <w:t xml:space="preserve"> do organu, który sporządził kopię potwierdzoną za zgodność z oryginałem</w:t>
            </w:r>
            <w:r>
              <w:rPr>
                <w:sz w:val="20"/>
                <w:szCs w:val="20"/>
              </w:rPr>
              <w:t>.</w:t>
            </w:r>
          </w:p>
          <w:p w:rsidR="008A0DCC" w:rsidRPr="00D02BA4" w:rsidRDefault="008A0DCC" w:rsidP="00532DB0">
            <w:pPr>
              <w:jc w:val="both"/>
              <w:rPr>
                <w:sz w:val="20"/>
                <w:szCs w:val="20"/>
              </w:rPr>
            </w:pPr>
            <w:r>
              <w:rPr>
                <w:sz w:val="20"/>
                <w:szCs w:val="20"/>
              </w:rPr>
              <w:t>Mając na uwadze wykładnię celowością rozporządzenia 2016/1191 i intencję unijnego ustawodawcy do zapewnienia swobodnego uznawania określonych dokumentów urzędowych i ich poświadczonych urzędowo kopii, należy uznać, że sytuacja, w której nie udzielono merytorycznej odpowiedzi w przedmiocie autentyczności dokumen</w:t>
            </w:r>
            <w:r w:rsidR="002A2BEE">
              <w:rPr>
                <w:sz w:val="20"/>
                <w:szCs w:val="20"/>
              </w:rPr>
              <w:t>tu winna następować wyjątkowo</w:t>
            </w:r>
            <w:r w:rsidR="0023657C">
              <w:rPr>
                <w:sz w:val="20"/>
                <w:szCs w:val="20"/>
              </w:rPr>
              <w:t xml:space="preserve"> (</w:t>
            </w:r>
            <w:proofErr w:type="spellStart"/>
            <w:r w:rsidR="0023657C">
              <w:rPr>
                <w:sz w:val="20"/>
                <w:szCs w:val="20"/>
              </w:rPr>
              <w:t>zd</w:t>
            </w:r>
            <w:proofErr w:type="spellEnd"/>
            <w:r w:rsidR="0023657C">
              <w:rPr>
                <w:sz w:val="20"/>
                <w:szCs w:val="20"/>
              </w:rPr>
              <w:t>. 3 motywu 39 dyrektywy</w:t>
            </w:r>
            <w:r w:rsidR="009D7618">
              <w:rPr>
                <w:sz w:val="20"/>
                <w:szCs w:val="20"/>
              </w:rPr>
              <w:t>)</w:t>
            </w:r>
            <w:r w:rsidR="002A2BEE">
              <w:rPr>
                <w:sz w:val="20"/>
                <w:szCs w:val="20"/>
              </w:rPr>
              <w:t xml:space="preserve">. Należy zatem zapewnić jak najczęstszą możliwość udzielenia informacji. </w:t>
            </w:r>
            <w:r>
              <w:rPr>
                <w:sz w:val="20"/>
                <w:szCs w:val="20"/>
              </w:rPr>
              <w:t>Powyższe potwierdza brzmienie motywu 38 rozporządzenia 2016/1191, wedle którego:</w:t>
            </w:r>
            <w:r w:rsidR="00D02BA4">
              <w:rPr>
                <w:sz w:val="20"/>
                <w:szCs w:val="20"/>
              </w:rPr>
              <w:t xml:space="preserve"> </w:t>
            </w:r>
            <w:r w:rsidR="0023657C">
              <w:rPr>
                <w:i/>
                <w:sz w:val="20"/>
                <w:szCs w:val="20"/>
              </w:rPr>
              <w:t>Istnieje możliwość, iż w </w:t>
            </w:r>
            <w:r w:rsidRPr="00152482">
              <w:rPr>
                <w:i/>
                <w:sz w:val="20"/>
                <w:szCs w:val="20"/>
              </w:rPr>
              <w:t xml:space="preserve">wyjątkowych okolicznościach organy państw członkowskich nie będą w stanie zweryfikować autentyczności </w:t>
            </w:r>
            <w:r w:rsidRPr="00152482">
              <w:rPr>
                <w:i/>
                <w:sz w:val="20"/>
                <w:szCs w:val="20"/>
              </w:rPr>
              <w:lastRenderedPageBreak/>
              <w:t>dokumentu urzędowego. Sytuacja taka winna mieć miejsce jedynie wówczas, gdy taka weryfikacja jest niemożliwa ze względu na okoliczności, takie jak, przykładowo, fizyczne zniszczenie lub utrata kopii dokumentów krajowych, na przykład z powodu zniszczenia archiwów urzędu stanu cywilnego lub sądu, lub brak rejestru. Należy zatem przewidzieć w IMI opcję odpowiedzi, która odzwierciedla taką ewentualność.</w:t>
            </w:r>
            <w:r>
              <w:rPr>
                <w:i/>
                <w:sz w:val="20"/>
                <w:szCs w:val="20"/>
              </w:rPr>
              <w:t xml:space="preserve"> </w:t>
            </w:r>
            <w:r w:rsidR="00D02BA4">
              <w:rPr>
                <w:i/>
                <w:sz w:val="20"/>
                <w:szCs w:val="20"/>
              </w:rPr>
              <w:t xml:space="preserve"> </w:t>
            </w:r>
            <w:r w:rsidRPr="00532DB0">
              <w:rPr>
                <w:bCs/>
                <w:sz w:val="20"/>
                <w:szCs w:val="20"/>
              </w:rPr>
              <w:t xml:space="preserve">W przypadku </w:t>
            </w:r>
            <w:r>
              <w:rPr>
                <w:bCs/>
                <w:sz w:val="20"/>
                <w:szCs w:val="20"/>
              </w:rPr>
              <w:t>zaprzestania prowadzenia przez danego notariusza kancelarii, zgodnie z §</w:t>
            </w:r>
            <w:r w:rsidRPr="00532DB0">
              <w:rPr>
                <w:bCs/>
                <w:sz w:val="20"/>
                <w:szCs w:val="20"/>
              </w:rPr>
              <w:t>10</w:t>
            </w:r>
            <w:r>
              <w:rPr>
                <w:bCs/>
                <w:sz w:val="20"/>
                <w:szCs w:val="20"/>
              </w:rPr>
              <w:t xml:space="preserve"> pkt 1 </w:t>
            </w:r>
            <w:proofErr w:type="spellStart"/>
            <w:r>
              <w:rPr>
                <w:bCs/>
                <w:sz w:val="20"/>
                <w:szCs w:val="20"/>
              </w:rPr>
              <w:t>zd</w:t>
            </w:r>
            <w:proofErr w:type="spellEnd"/>
            <w:r>
              <w:rPr>
                <w:bCs/>
                <w:sz w:val="20"/>
                <w:szCs w:val="20"/>
              </w:rPr>
              <w:t xml:space="preserve">. 1 </w:t>
            </w:r>
            <w:r w:rsidRPr="000B4D27">
              <w:rPr>
                <w:bCs/>
                <w:sz w:val="20"/>
                <w:szCs w:val="20"/>
              </w:rPr>
              <w:t>rozporządzeni</w:t>
            </w:r>
            <w:r>
              <w:rPr>
                <w:bCs/>
                <w:sz w:val="20"/>
                <w:szCs w:val="20"/>
              </w:rPr>
              <w:t>a</w:t>
            </w:r>
            <w:r w:rsidRPr="000B4D27">
              <w:rPr>
                <w:bCs/>
                <w:sz w:val="20"/>
                <w:szCs w:val="20"/>
              </w:rPr>
              <w:t xml:space="preserve"> w sprawie prowadzenia ksiąg notarialnych</w:t>
            </w:r>
            <w:bookmarkStart w:id="5" w:name="mip44990761"/>
            <w:bookmarkEnd w:id="5"/>
            <w:r w:rsidRPr="00532DB0">
              <w:rPr>
                <w:sz w:val="20"/>
                <w:szCs w:val="20"/>
              </w:rPr>
              <w:t xml:space="preserve">, akty i księgi notarialne oraz złożone na przechowanie dokumenty notariusz, który prowadził tę kancelarię, lub osoba wskazana przez radę właściwej izby notarialnej przekazuje do archiwum ksiąg wieczystych sądu rejonowego właściwego ze względu na siedzibę kancelarii. </w:t>
            </w:r>
            <w:bookmarkStart w:id="6" w:name="mip44990762"/>
            <w:bookmarkEnd w:id="6"/>
            <w:r>
              <w:rPr>
                <w:sz w:val="20"/>
                <w:szCs w:val="20"/>
              </w:rPr>
              <w:t xml:space="preserve">Wówczas tenże sąd </w:t>
            </w:r>
            <w:r w:rsidRPr="00532DB0">
              <w:rPr>
                <w:sz w:val="20"/>
                <w:szCs w:val="20"/>
              </w:rPr>
              <w:t>udziela informacji pisemn</w:t>
            </w:r>
            <w:r w:rsidR="004D6598">
              <w:rPr>
                <w:sz w:val="20"/>
                <w:szCs w:val="20"/>
              </w:rPr>
              <w:t>ych i ustnych w tych sprawach z </w:t>
            </w:r>
            <w:r w:rsidRPr="00532DB0">
              <w:rPr>
                <w:sz w:val="20"/>
                <w:szCs w:val="20"/>
              </w:rPr>
              <w:t>uwzględnieniem przepisów dotyczących aktów notarialnych i innych dokumentów</w:t>
            </w:r>
            <w:r>
              <w:rPr>
                <w:sz w:val="20"/>
                <w:szCs w:val="20"/>
              </w:rPr>
              <w:t xml:space="preserve"> (</w:t>
            </w:r>
            <w:r>
              <w:rPr>
                <w:bCs/>
                <w:sz w:val="20"/>
                <w:szCs w:val="20"/>
              </w:rPr>
              <w:t>§</w:t>
            </w:r>
            <w:r w:rsidRPr="00532DB0">
              <w:rPr>
                <w:bCs/>
                <w:sz w:val="20"/>
                <w:szCs w:val="20"/>
              </w:rPr>
              <w:t>10</w:t>
            </w:r>
            <w:r>
              <w:rPr>
                <w:bCs/>
                <w:sz w:val="20"/>
                <w:szCs w:val="20"/>
              </w:rPr>
              <w:t xml:space="preserve"> pkt 4 przywołanego </w:t>
            </w:r>
            <w:r w:rsidRPr="000B4D27">
              <w:rPr>
                <w:bCs/>
                <w:sz w:val="20"/>
                <w:szCs w:val="20"/>
              </w:rPr>
              <w:t>rozporządzeni</w:t>
            </w:r>
            <w:r>
              <w:rPr>
                <w:bCs/>
                <w:sz w:val="20"/>
                <w:szCs w:val="20"/>
              </w:rPr>
              <w:t xml:space="preserve">a). Księgi notarialne oraz akty notarialne nie </w:t>
            </w:r>
            <w:r w:rsidR="00A054AF">
              <w:rPr>
                <w:bCs/>
                <w:sz w:val="20"/>
                <w:szCs w:val="20"/>
              </w:rPr>
              <w:t>ulegają</w:t>
            </w:r>
            <w:r>
              <w:rPr>
                <w:bCs/>
                <w:sz w:val="20"/>
                <w:szCs w:val="20"/>
              </w:rPr>
              <w:t xml:space="preserve"> zatem zniszczeniu, lecz w dalszym ciągu możliwe jest uzyskanie informacji co do ich treści jak i autentyczności .</w:t>
            </w:r>
          </w:p>
          <w:p w:rsidR="006911C5" w:rsidRDefault="00437FB0" w:rsidP="00E37A13">
            <w:pPr>
              <w:jc w:val="both"/>
              <w:rPr>
                <w:sz w:val="20"/>
                <w:szCs w:val="20"/>
              </w:rPr>
            </w:pPr>
            <w:r>
              <w:rPr>
                <w:bCs/>
                <w:sz w:val="20"/>
                <w:szCs w:val="20"/>
              </w:rPr>
              <w:t xml:space="preserve"> W ocenie DLPC w sytuacji tej</w:t>
            </w:r>
            <w:r w:rsidR="008A0DCC">
              <w:rPr>
                <w:sz w:val="20"/>
                <w:szCs w:val="20"/>
              </w:rPr>
              <w:t xml:space="preserve"> </w:t>
            </w:r>
            <w:r w:rsidR="00AF606C">
              <w:rPr>
                <w:sz w:val="20"/>
                <w:szCs w:val="20"/>
              </w:rPr>
              <w:t xml:space="preserve">odpowiedź na </w:t>
            </w:r>
            <w:r w:rsidR="008A0DCC">
              <w:rPr>
                <w:sz w:val="20"/>
                <w:szCs w:val="20"/>
              </w:rPr>
              <w:t>wniosek</w:t>
            </w:r>
            <w:r>
              <w:rPr>
                <w:sz w:val="20"/>
                <w:szCs w:val="20"/>
              </w:rPr>
              <w:t xml:space="preserve"> o </w:t>
            </w:r>
            <w:r w:rsidR="00935F94">
              <w:rPr>
                <w:sz w:val="20"/>
                <w:szCs w:val="20"/>
              </w:rPr>
              <w:t>weryfikację</w:t>
            </w:r>
            <w:r w:rsidR="00AF606C">
              <w:rPr>
                <w:sz w:val="20"/>
                <w:szCs w:val="20"/>
              </w:rPr>
              <w:t>, skierowany pierwotnie lub finalnie(po przekazaniu) do</w:t>
            </w:r>
            <w:r w:rsidR="008A0DCC">
              <w:rPr>
                <w:sz w:val="20"/>
                <w:szCs w:val="20"/>
              </w:rPr>
              <w:t xml:space="preserve"> koordynatora będącego prezesem</w:t>
            </w:r>
            <w:r w:rsidR="00AF606C">
              <w:rPr>
                <w:sz w:val="20"/>
                <w:szCs w:val="20"/>
              </w:rPr>
              <w:t xml:space="preserve"> </w:t>
            </w:r>
            <w:proofErr w:type="spellStart"/>
            <w:r w:rsidR="00AF606C">
              <w:rPr>
                <w:sz w:val="20"/>
                <w:szCs w:val="20"/>
              </w:rPr>
              <w:t>r.i.n</w:t>
            </w:r>
            <w:proofErr w:type="spellEnd"/>
            <w:r w:rsidR="00AF606C">
              <w:rPr>
                <w:sz w:val="20"/>
                <w:szCs w:val="20"/>
              </w:rPr>
              <w:t>. właściwej dla miejsca prowadzenia zakończonej działalności</w:t>
            </w:r>
            <w:r w:rsidR="008A0DCC">
              <w:rPr>
                <w:sz w:val="20"/>
                <w:szCs w:val="20"/>
              </w:rPr>
              <w:t xml:space="preserve">, </w:t>
            </w:r>
            <w:r w:rsidR="00AF606C">
              <w:rPr>
                <w:sz w:val="20"/>
                <w:szCs w:val="20"/>
              </w:rPr>
              <w:t>winien skutkować odpowiedzią o braku</w:t>
            </w:r>
            <w:r>
              <w:rPr>
                <w:sz w:val="20"/>
                <w:szCs w:val="20"/>
              </w:rPr>
              <w:t xml:space="preserve"> </w:t>
            </w:r>
            <w:r w:rsidR="00AF606C">
              <w:rPr>
                <w:sz w:val="20"/>
                <w:szCs w:val="20"/>
              </w:rPr>
              <w:t>zweryfikowania</w:t>
            </w:r>
            <w:r>
              <w:rPr>
                <w:sz w:val="20"/>
                <w:szCs w:val="20"/>
              </w:rPr>
              <w:t xml:space="preserve"> dokumentu przez organ – wystawcę</w:t>
            </w:r>
            <w:r w:rsidR="00AF606C">
              <w:rPr>
                <w:sz w:val="20"/>
                <w:szCs w:val="20"/>
              </w:rPr>
              <w:t xml:space="preserve">. Jednocześnie należy udzielić informacji dodatkowej, że </w:t>
            </w:r>
            <w:r w:rsidR="007218E4">
              <w:rPr>
                <w:sz w:val="20"/>
                <w:szCs w:val="20"/>
              </w:rPr>
              <w:t>możliwe jest wystąpienie z zapytaniem do odpowiedniego prezesa</w:t>
            </w:r>
            <w:r w:rsidR="00E31B2F">
              <w:rPr>
                <w:sz w:val="20"/>
                <w:szCs w:val="20"/>
              </w:rPr>
              <w:t xml:space="preserve"> SA </w:t>
            </w:r>
            <w:r w:rsidR="007218E4">
              <w:rPr>
                <w:sz w:val="20"/>
                <w:szCs w:val="20"/>
              </w:rPr>
              <w:t>(</w:t>
            </w:r>
            <w:r w:rsidR="00E31B2F">
              <w:rPr>
                <w:sz w:val="20"/>
                <w:szCs w:val="20"/>
              </w:rPr>
              <w:t>właściwe</w:t>
            </w:r>
            <w:r w:rsidR="007218E4">
              <w:rPr>
                <w:sz w:val="20"/>
                <w:szCs w:val="20"/>
              </w:rPr>
              <w:t>go</w:t>
            </w:r>
            <w:r w:rsidR="00E31B2F">
              <w:rPr>
                <w:sz w:val="20"/>
                <w:szCs w:val="20"/>
              </w:rPr>
              <w:t xml:space="preserve"> dla są</w:t>
            </w:r>
            <w:r w:rsidR="008A0DCC">
              <w:rPr>
                <w:sz w:val="20"/>
                <w:szCs w:val="20"/>
              </w:rPr>
              <w:t>du rejonowego prowadzącego archiwum</w:t>
            </w:r>
            <w:r w:rsidR="00A02DF7">
              <w:rPr>
                <w:sz w:val="20"/>
                <w:szCs w:val="20"/>
              </w:rPr>
              <w:t xml:space="preserve"> do którego złożono dokumentację danego notariusza</w:t>
            </w:r>
            <w:r w:rsidR="007218E4">
              <w:rPr>
                <w:sz w:val="20"/>
                <w:szCs w:val="20"/>
              </w:rPr>
              <w:t>)</w:t>
            </w:r>
            <w:r w:rsidR="008A0DCC">
              <w:rPr>
                <w:sz w:val="20"/>
                <w:szCs w:val="20"/>
              </w:rPr>
              <w:t>.  W tej sytuacji stosownej odpowiedzi</w:t>
            </w:r>
            <w:r w:rsidR="005057CB">
              <w:rPr>
                <w:sz w:val="20"/>
                <w:szCs w:val="20"/>
              </w:rPr>
              <w:t>, po uprzednim kontakcie z prowadzącym archiwum sądem rejonowym,</w:t>
            </w:r>
            <w:r w:rsidR="008A0DCC">
              <w:rPr>
                <w:sz w:val="20"/>
                <w:szCs w:val="20"/>
              </w:rPr>
              <w:t xml:space="preserve"> udzieli koordynator delegowany – prezes SA.</w:t>
            </w:r>
            <w:r w:rsidR="006911C5">
              <w:rPr>
                <w:sz w:val="20"/>
                <w:szCs w:val="20"/>
              </w:rPr>
              <w:t xml:space="preserve"> Odpowiedzi nie może udzielić sąd który prowadzi archiwum, gdyż nie jest on wystawcą dokumentu, a  przepisy rozporządzenia 2016/1191 przewidują jedynie udzielanie odpowiedzi przez wystawców dokumentów, bądź wyjątkowo przez organy centralne (co w ustanawianym systemie obejmuje także koordynatorów delegowanych).</w:t>
            </w:r>
            <w:r w:rsidR="008A0DCC">
              <w:rPr>
                <w:sz w:val="20"/>
                <w:szCs w:val="20"/>
              </w:rPr>
              <w:t xml:space="preserve"> </w:t>
            </w:r>
          </w:p>
          <w:p w:rsidR="008A0DCC" w:rsidRPr="005057CB" w:rsidRDefault="00667155" w:rsidP="009F2BE3">
            <w:pPr>
              <w:jc w:val="both"/>
              <w:rPr>
                <w:sz w:val="20"/>
                <w:szCs w:val="20"/>
              </w:rPr>
            </w:pPr>
            <w:r>
              <w:rPr>
                <w:sz w:val="20"/>
                <w:szCs w:val="20"/>
              </w:rPr>
              <w:t>Taka</w:t>
            </w:r>
            <w:r w:rsidR="007B3F5F">
              <w:rPr>
                <w:sz w:val="20"/>
                <w:szCs w:val="20"/>
              </w:rPr>
              <w:t xml:space="preserve"> sytuacja może wywołać problemy z dotrzymaniem terminu </w:t>
            </w:r>
            <w:r w:rsidR="005057CB">
              <w:rPr>
                <w:sz w:val="20"/>
                <w:szCs w:val="20"/>
              </w:rPr>
              <w:t xml:space="preserve">do wydania odpowiedzi </w:t>
            </w:r>
            <w:r w:rsidR="007B3F5F">
              <w:rPr>
                <w:sz w:val="20"/>
                <w:szCs w:val="20"/>
              </w:rPr>
              <w:t xml:space="preserve">– w tym wypadku 10 –dniowego, jednakże w myśl art. 14 ust. 45 </w:t>
            </w:r>
            <w:proofErr w:type="spellStart"/>
            <w:r w:rsidR="007B3F5F">
              <w:rPr>
                <w:sz w:val="20"/>
                <w:szCs w:val="20"/>
              </w:rPr>
              <w:t>zd</w:t>
            </w:r>
            <w:proofErr w:type="spellEnd"/>
            <w:r w:rsidR="007B3F5F">
              <w:rPr>
                <w:sz w:val="20"/>
                <w:szCs w:val="20"/>
              </w:rPr>
              <w:t>. 2 rozporządzenia 2016/1191, w</w:t>
            </w:r>
            <w:r w:rsidR="006911C5">
              <w:rPr>
                <w:sz w:val="20"/>
                <w:szCs w:val="20"/>
              </w:rPr>
              <w:t> </w:t>
            </w:r>
            <w:r w:rsidR="007B3F5F" w:rsidRPr="007B3F5F">
              <w:rPr>
                <w:sz w:val="20"/>
                <w:szCs w:val="20"/>
              </w:rPr>
              <w:t>wyjątkowych przypadkach, w których terminy wskazane w akapicie pierwszym nie mogą zostać dotrzymane, organ, do którego skierowano wniosek, i organ występujący o udzielenie informacji uzgadniają wydłużenie tego terminu.</w:t>
            </w:r>
          </w:p>
        </w:tc>
      </w:tr>
      <w:tr w:rsidR="008A0DCC" w:rsidRPr="006A58E0" w:rsidTr="00482C75">
        <w:trPr>
          <w:trHeight w:val="95"/>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D90EC0" w:rsidP="00EE63ED">
            <w:pPr>
              <w:spacing w:line="276" w:lineRule="auto"/>
              <w:jc w:val="both"/>
              <w:rPr>
                <w:rFonts w:cs="Times New Roman"/>
                <w:sz w:val="20"/>
                <w:szCs w:val="20"/>
              </w:rPr>
            </w:pPr>
            <w:r>
              <w:rPr>
                <w:rFonts w:cs="Times New Roman"/>
                <w:sz w:val="20"/>
                <w:szCs w:val="20"/>
              </w:rPr>
              <w:t>3</w:t>
            </w:r>
            <w:r w:rsidR="00EE63ED">
              <w:rPr>
                <w:rFonts w:cs="Times New Roman"/>
                <w:sz w:val="20"/>
                <w:szCs w:val="20"/>
              </w:rPr>
              <w:t>j</w:t>
            </w:r>
          </w:p>
        </w:tc>
        <w:tc>
          <w:tcPr>
            <w:tcW w:w="1453" w:type="pct"/>
          </w:tcPr>
          <w:p w:rsidR="008A0DCC" w:rsidRDefault="00D90EC0" w:rsidP="00A6109E">
            <w:pPr>
              <w:spacing w:line="276" w:lineRule="auto"/>
              <w:jc w:val="both"/>
              <w:rPr>
                <w:rFonts w:cs="Times New Roman"/>
                <w:sz w:val="20"/>
                <w:szCs w:val="20"/>
              </w:rPr>
            </w:pPr>
            <w:r>
              <w:rPr>
                <w:rFonts w:cs="Times New Roman"/>
                <w:sz w:val="20"/>
                <w:szCs w:val="20"/>
              </w:rPr>
              <w:t xml:space="preserve">Brak jest wzorów dokumentów sporządzanych przez notariuszy.  Nie funkcjonuje jednolity model  (wzór aktu notarialnego), który pozwoliłby innej osobie, niż </w:t>
            </w:r>
            <w:r w:rsidR="007B3F5F">
              <w:rPr>
                <w:rFonts w:cs="Times New Roman"/>
                <w:sz w:val="20"/>
                <w:szCs w:val="20"/>
              </w:rPr>
              <w:t>dokonująca</w:t>
            </w:r>
            <w:r>
              <w:rPr>
                <w:rFonts w:cs="Times New Roman"/>
                <w:sz w:val="20"/>
                <w:szCs w:val="20"/>
              </w:rPr>
              <w:t xml:space="preserve"> czy</w:t>
            </w:r>
            <w:r w:rsidR="00BE19F3">
              <w:rPr>
                <w:rFonts w:cs="Times New Roman"/>
                <w:sz w:val="20"/>
                <w:szCs w:val="20"/>
              </w:rPr>
              <w:t>nności notarialnej zweryfikować</w:t>
            </w:r>
            <w:r>
              <w:rPr>
                <w:rFonts w:cs="Times New Roman"/>
                <w:sz w:val="20"/>
                <w:szCs w:val="20"/>
              </w:rPr>
              <w:t>, czy dany dokument nie został sfałszowany.</w:t>
            </w:r>
          </w:p>
        </w:tc>
        <w:tc>
          <w:tcPr>
            <w:tcW w:w="2456" w:type="pct"/>
          </w:tcPr>
          <w:p w:rsidR="008A0DCC" w:rsidRPr="00D90EC0" w:rsidRDefault="00D90EC0" w:rsidP="00BE19F3">
            <w:pPr>
              <w:jc w:val="both"/>
              <w:rPr>
                <w:sz w:val="20"/>
                <w:szCs w:val="20"/>
              </w:rPr>
            </w:pPr>
            <w:r w:rsidRPr="00D90EC0">
              <w:rPr>
                <w:b/>
                <w:sz w:val="20"/>
                <w:szCs w:val="20"/>
              </w:rPr>
              <w:t>Uwaga nieuwzględniona</w:t>
            </w:r>
            <w:r>
              <w:rPr>
                <w:b/>
                <w:sz w:val="20"/>
                <w:szCs w:val="20"/>
              </w:rPr>
              <w:t xml:space="preserve"> – </w:t>
            </w:r>
            <w:r w:rsidRPr="00D90EC0">
              <w:rPr>
                <w:sz w:val="20"/>
                <w:szCs w:val="20"/>
              </w:rPr>
              <w:t xml:space="preserve">w pierwszej kolejności </w:t>
            </w:r>
            <w:r>
              <w:rPr>
                <w:sz w:val="20"/>
                <w:szCs w:val="20"/>
              </w:rPr>
              <w:t xml:space="preserve"> organy korzystające z systemu ustanowionego rozporządzeniem 2016/1911, podczas weryfikacji dokumentu winny sprawdzić jego wzór lub </w:t>
            </w:r>
            <w:r w:rsidR="00CE026C">
              <w:rPr>
                <w:sz w:val="20"/>
                <w:szCs w:val="20"/>
              </w:rPr>
              <w:t>opis jego cech</w:t>
            </w:r>
            <w:r>
              <w:rPr>
                <w:sz w:val="20"/>
                <w:szCs w:val="20"/>
              </w:rPr>
              <w:t xml:space="preserve"> szczegó</w:t>
            </w:r>
            <w:r w:rsidR="00CE026C">
              <w:rPr>
                <w:sz w:val="20"/>
                <w:szCs w:val="20"/>
              </w:rPr>
              <w:t>lnych, umieszczony przez państwo członkowskie w internetowym serwisie e-</w:t>
            </w:r>
            <w:proofErr w:type="spellStart"/>
            <w:r w:rsidR="00CE026C">
              <w:rPr>
                <w:sz w:val="20"/>
                <w:szCs w:val="20"/>
              </w:rPr>
              <w:t>Justice</w:t>
            </w:r>
            <w:proofErr w:type="spellEnd"/>
            <w:r w:rsidR="00CE026C">
              <w:rPr>
                <w:sz w:val="20"/>
                <w:szCs w:val="20"/>
              </w:rPr>
              <w:t>, gdzie przedstawiono cechy szczególne aktów notarialnych, tj. dokumentów urzędowych, względem których nie wydano normatywnego wzorca. Dopiero później winna zostać przeprowadz</w:t>
            </w:r>
            <w:r w:rsidR="00A33D80">
              <w:rPr>
                <w:sz w:val="20"/>
                <w:szCs w:val="20"/>
              </w:rPr>
              <w:t>ona analiza wzorów dokumentów w </w:t>
            </w:r>
            <w:r w:rsidR="00CE026C">
              <w:rPr>
                <w:sz w:val="20"/>
                <w:szCs w:val="20"/>
              </w:rPr>
              <w:t xml:space="preserve">systemie IMI. Gdy takie badanie nie wyjaśniło wszystkich wątpliwości, możliwe jest wystąpienie z wnioskiem w systemie IMI. </w:t>
            </w:r>
            <w:r w:rsidR="00855161">
              <w:rPr>
                <w:sz w:val="20"/>
                <w:szCs w:val="20"/>
              </w:rPr>
              <w:t xml:space="preserve">Rozpoznanie wniosku, w tym nawet nie przez osobę, która ja sporządziła (ekstraordynaryjne sytuacje omówione w odpowiedzi na uwagę nr 3g) nie powinno sprawić problemu, gdyż do </w:t>
            </w:r>
            <w:r w:rsidR="007B3F5F" w:rsidRPr="007B3F5F">
              <w:rPr>
                <w:sz w:val="20"/>
                <w:szCs w:val="20"/>
              </w:rPr>
              <w:t>wniosków o udzielenie informacji dołącza się kopię przedmiotowego dokumentu urzędowego lub kopi</w:t>
            </w:r>
            <w:r w:rsidR="00BE19F3">
              <w:rPr>
                <w:sz w:val="20"/>
                <w:szCs w:val="20"/>
              </w:rPr>
              <w:t>ę</w:t>
            </w:r>
            <w:r w:rsidR="007B3F5F" w:rsidRPr="007B3F5F">
              <w:rPr>
                <w:sz w:val="20"/>
                <w:szCs w:val="20"/>
              </w:rPr>
              <w:t xml:space="preserve"> poświadczon</w:t>
            </w:r>
            <w:r w:rsidR="00BE19F3">
              <w:rPr>
                <w:sz w:val="20"/>
                <w:szCs w:val="20"/>
              </w:rPr>
              <w:t>ą</w:t>
            </w:r>
            <w:r w:rsidR="00D622E4">
              <w:rPr>
                <w:sz w:val="20"/>
                <w:szCs w:val="20"/>
              </w:rPr>
              <w:t xml:space="preserve"> za zgodność z oryginałem. Jest ona przekazywana</w:t>
            </w:r>
            <w:r w:rsidR="007B3F5F" w:rsidRPr="007B3F5F">
              <w:rPr>
                <w:sz w:val="20"/>
                <w:szCs w:val="20"/>
              </w:rPr>
              <w:t xml:space="preserve"> drogą elektroniczną za pośrednictwem IMI.</w:t>
            </w:r>
            <w:r w:rsidR="00855161">
              <w:rPr>
                <w:sz w:val="20"/>
                <w:szCs w:val="20"/>
              </w:rPr>
              <w:t xml:space="preserve"> </w:t>
            </w:r>
            <w:r w:rsidR="00A33D80">
              <w:rPr>
                <w:sz w:val="20"/>
                <w:szCs w:val="20"/>
              </w:rPr>
              <w:t xml:space="preserve">Nadto pomocne przy weryfikacji dokumentów sporządzonych w drodze czynności notarialnych pozostają wyżej omówione repertoria. </w:t>
            </w:r>
          </w:p>
        </w:tc>
      </w:tr>
      <w:tr w:rsidR="008A0DCC" w:rsidRPr="006A58E0" w:rsidTr="00482C75">
        <w:trPr>
          <w:trHeight w:val="95"/>
        </w:trPr>
        <w:tc>
          <w:tcPr>
            <w:tcW w:w="182" w:type="pct"/>
            <w:vMerge/>
          </w:tcPr>
          <w:p w:rsidR="008A0DCC" w:rsidRDefault="008A0DCC" w:rsidP="00D85E98">
            <w:pPr>
              <w:rPr>
                <w:sz w:val="20"/>
                <w:szCs w:val="20"/>
              </w:rPr>
            </w:pPr>
          </w:p>
        </w:tc>
        <w:tc>
          <w:tcPr>
            <w:tcW w:w="608" w:type="pct"/>
            <w:vMerge/>
          </w:tcPr>
          <w:p w:rsidR="008A0DCC" w:rsidRDefault="008A0DCC" w:rsidP="00D85E98">
            <w:pPr>
              <w:rPr>
                <w:b/>
                <w:sz w:val="20"/>
                <w:szCs w:val="20"/>
              </w:rPr>
            </w:pPr>
          </w:p>
        </w:tc>
        <w:tc>
          <w:tcPr>
            <w:tcW w:w="301" w:type="pct"/>
          </w:tcPr>
          <w:p w:rsidR="008A0DCC" w:rsidRDefault="00D90EC0" w:rsidP="00EE63ED">
            <w:pPr>
              <w:spacing w:line="276" w:lineRule="auto"/>
              <w:jc w:val="both"/>
              <w:rPr>
                <w:rFonts w:cs="Times New Roman"/>
                <w:sz w:val="20"/>
                <w:szCs w:val="20"/>
              </w:rPr>
            </w:pPr>
            <w:r>
              <w:rPr>
                <w:rFonts w:cs="Times New Roman"/>
                <w:sz w:val="20"/>
                <w:szCs w:val="20"/>
              </w:rPr>
              <w:t>4</w:t>
            </w:r>
            <w:r w:rsidR="00EE63ED">
              <w:rPr>
                <w:rFonts w:cs="Times New Roman"/>
                <w:sz w:val="20"/>
                <w:szCs w:val="20"/>
              </w:rPr>
              <w:t>k</w:t>
            </w:r>
          </w:p>
        </w:tc>
        <w:tc>
          <w:tcPr>
            <w:tcW w:w="1453" w:type="pct"/>
          </w:tcPr>
          <w:p w:rsidR="008A0DCC" w:rsidRDefault="00855161" w:rsidP="00A6109E">
            <w:pPr>
              <w:spacing w:line="276" w:lineRule="auto"/>
              <w:jc w:val="both"/>
              <w:rPr>
                <w:rFonts w:cs="Times New Roman"/>
                <w:sz w:val="20"/>
                <w:szCs w:val="20"/>
              </w:rPr>
            </w:pPr>
            <w:r>
              <w:rPr>
                <w:rFonts w:cs="Times New Roman"/>
                <w:sz w:val="20"/>
                <w:szCs w:val="20"/>
              </w:rPr>
              <w:t>Istnieją wątpliwości związane z wydawaniem wielojęzycznych formularzy oraz pobieraniem opłat za ich wydanie.</w:t>
            </w:r>
          </w:p>
        </w:tc>
        <w:tc>
          <w:tcPr>
            <w:tcW w:w="2456" w:type="pct"/>
          </w:tcPr>
          <w:p w:rsidR="00D622E4" w:rsidRPr="00855161" w:rsidRDefault="00855161" w:rsidP="009F2BE3">
            <w:pPr>
              <w:jc w:val="both"/>
              <w:rPr>
                <w:sz w:val="20"/>
                <w:szCs w:val="20"/>
              </w:rPr>
            </w:pPr>
            <w:r w:rsidRPr="00855161">
              <w:rPr>
                <w:b/>
                <w:sz w:val="20"/>
                <w:szCs w:val="20"/>
              </w:rPr>
              <w:t>Uwa</w:t>
            </w:r>
            <w:r>
              <w:rPr>
                <w:b/>
                <w:sz w:val="20"/>
                <w:szCs w:val="20"/>
              </w:rPr>
              <w:t xml:space="preserve">ga </w:t>
            </w:r>
            <w:r w:rsidR="005F0D47">
              <w:rPr>
                <w:b/>
                <w:sz w:val="20"/>
                <w:szCs w:val="20"/>
              </w:rPr>
              <w:t>nieuwzględniona</w:t>
            </w:r>
            <w:r>
              <w:rPr>
                <w:b/>
                <w:sz w:val="20"/>
                <w:szCs w:val="20"/>
              </w:rPr>
              <w:t xml:space="preserve"> – </w:t>
            </w:r>
            <w:r>
              <w:rPr>
                <w:sz w:val="20"/>
                <w:szCs w:val="20"/>
              </w:rPr>
              <w:t>dotyczy ona w pełni wy</w:t>
            </w:r>
            <w:r w:rsidR="00B71C90">
              <w:rPr>
                <w:sz w:val="20"/>
                <w:szCs w:val="20"/>
              </w:rPr>
              <w:t>kładni rozporządzenia 2016/1191</w:t>
            </w:r>
            <w:r>
              <w:rPr>
                <w:sz w:val="20"/>
                <w:szCs w:val="20"/>
              </w:rPr>
              <w:t xml:space="preserve">, pozostając </w:t>
            </w:r>
            <w:r w:rsidR="00B71C90">
              <w:rPr>
                <w:sz w:val="20"/>
                <w:szCs w:val="20"/>
              </w:rPr>
              <w:t>b</w:t>
            </w:r>
            <w:r>
              <w:rPr>
                <w:sz w:val="20"/>
                <w:szCs w:val="20"/>
              </w:rPr>
              <w:t xml:space="preserve">ez związku z zapisami projektowanego rozporządzenia Ministra </w:t>
            </w:r>
            <w:r w:rsidR="00D622E4">
              <w:rPr>
                <w:sz w:val="20"/>
                <w:szCs w:val="20"/>
              </w:rPr>
              <w:t>Sprawiedliwości</w:t>
            </w:r>
            <w:r>
              <w:rPr>
                <w:sz w:val="20"/>
                <w:szCs w:val="20"/>
              </w:rPr>
              <w:t>.</w:t>
            </w:r>
          </w:p>
        </w:tc>
      </w:tr>
      <w:tr w:rsidR="006D0A72" w:rsidRPr="006A58E0" w:rsidTr="00482C75">
        <w:trPr>
          <w:trHeight w:val="143"/>
        </w:trPr>
        <w:tc>
          <w:tcPr>
            <w:tcW w:w="182" w:type="pct"/>
          </w:tcPr>
          <w:p w:rsidR="002A4C6B" w:rsidRDefault="00553652" w:rsidP="00D85E98">
            <w:pPr>
              <w:rPr>
                <w:sz w:val="20"/>
                <w:szCs w:val="20"/>
              </w:rPr>
            </w:pPr>
            <w:r>
              <w:rPr>
                <w:sz w:val="20"/>
                <w:szCs w:val="20"/>
              </w:rPr>
              <w:t>4</w:t>
            </w:r>
            <w:r w:rsidR="002A4C6B">
              <w:rPr>
                <w:sz w:val="20"/>
                <w:szCs w:val="20"/>
              </w:rPr>
              <w:t>.</w:t>
            </w:r>
          </w:p>
        </w:tc>
        <w:tc>
          <w:tcPr>
            <w:tcW w:w="608" w:type="pct"/>
          </w:tcPr>
          <w:p w:rsidR="002A4C6B" w:rsidRDefault="00553652" w:rsidP="00D85E98">
            <w:pPr>
              <w:rPr>
                <w:b/>
                <w:sz w:val="20"/>
                <w:szCs w:val="20"/>
              </w:rPr>
            </w:pPr>
            <w:r>
              <w:rPr>
                <w:b/>
                <w:sz w:val="20"/>
                <w:szCs w:val="20"/>
              </w:rPr>
              <w:t>Prezes Sądu Apelacyjnego w  Lublinie</w:t>
            </w:r>
          </w:p>
        </w:tc>
        <w:tc>
          <w:tcPr>
            <w:tcW w:w="301" w:type="pct"/>
          </w:tcPr>
          <w:p w:rsidR="002A4C6B" w:rsidRPr="006A58E0" w:rsidRDefault="00553652" w:rsidP="00665FD7">
            <w:pPr>
              <w:spacing w:line="276" w:lineRule="auto"/>
              <w:jc w:val="both"/>
              <w:rPr>
                <w:sz w:val="20"/>
                <w:szCs w:val="20"/>
              </w:rPr>
            </w:pPr>
            <w:r>
              <w:rPr>
                <w:sz w:val="20"/>
                <w:szCs w:val="20"/>
              </w:rPr>
              <w:t>4a</w:t>
            </w:r>
          </w:p>
        </w:tc>
        <w:tc>
          <w:tcPr>
            <w:tcW w:w="1453" w:type="pct"/>
          </w:tcPr>
          <w:p w:rsidR="002A4C6B" w:rsidRDefault="00553652" w:rsidP="00321E86">
            <w:pPr>
              <w:spacing w:line="276" w:lineRule="auto"/>
              <w:jc w:val="both"/>
              <w:rPr>
                <w:sz w:val="20"/>
                <w:szCs w:val="20"/>
              </w:rPr>
            </w:pPr>
            <w:r w:rsidRPr="00553652">
              <w:rPr>
                <w:sz w:val="20"/>
                <w:szCs w:val="20"/>
              </w:rPr>
              <w:t>Z</w:t>
            </w:r>
            <w:r w:rsidR="00D90EC0">
              <w:rPr>
                <w:sz w:val="20"/>
                <w:szCs w:val="20"/>
              </w:rPr>
              <w:t>ważając</w:t>
            </w:r>
            <w:r w:rsidRPr="00553652">
              <w:rPr>
                <w:sz w:val="20"/>
                <w:szCs w:val="20"/>
              </w:rPr>
              <w:t xml:space="preserve"> na powierzenie prezesowi sądu apelacyjnego pełnienia funkcji koordynatora delegowanego należy doprecyzować w projekcie rozporządzenia  lub też wprowadzić odpowiednie zapisy </w:t>
            </w:r>
            <w:r w:rsidR="00B71C90">
              <w:rPr>
                <w:sz w:val="20"/>
                <w:szCs w:val="20"/>
              </w:rPr>
              <w:t>w Rozporządzeniu MS -Regulaminie</w:t>
            </w:r>
            <w:r w:rsidRPr="00553652">
              <w:rPr>
                <w:sz w:val="20"/>
                <w:szCs w:val="20"/>
              </w:rPr>
              <w:t xml:space="preserve"> urzędowania sądów powszechnych</w:t>
            </w:r>
            <w:r w:rsidR="005F0D47">
              <w:rPr>
                <w:sz w:val="20"/>
                <w:szCs w:val="20"/>
              </w:rPr>
              <w:t>, która komórka organizacyjna</w:t>
            </w:r>
            <w:r w:rsidRPr="00553652">
              <w:rPr>
                <w:sz w:val="20"/>
                <w:szCs w:val="20"/>
              </w:rPr>
              <w:t xml:space="preserve">  ma wspomagać prezesa sądu w wypełnianiu nowych zadań realizowanych w ramach systemu IMI.</w:t>
            </w:r>
          </w:p>
        </w:tc>
        <w:tc>
          <w:tcPr>
            <w:tcW w:w="2456" w:type="pct"/>
          </w:tcPr>
          <w:p w:rsidR="0045130D" w:rsidRPr="00D9302E" w:rsidRDefault="009D7618" w:rsidP="009D7618">
            <w:pPr>
              <w:jc w:val="both"/>
              <w:rPr>
                <w:bCs/>
                <w:sz w:val="20"/>
                <w:szCs w:val="20"/>
              </w:rPr>
            </w:pPr>
            <w:r w:rsidRPr="009D7618">
              <w:rPr>
                <w:b/>
                <w:sz w:val="20"/>
                <w:szCs w:val="20"/>
              </w:rPr>
              <w:t>Wyjaś</w:t>
            </w:r>
            <w:r>
              <w:rPr>
                <w:b/>
                <w:sz w:val="20"/>
                <w:szCs w:val="20"/>
              </w:rPr>
              <w:t>nienie</w:t>
            </w:r>
            <w:r w:rsidRPr="009D7618">
              <w:rPr>
                <w:b/>
                <w:sz w:val="20"/>
                <w:szCs w:val="20"/>
              </w:rPr>
              <w:t xml:space="preserve">: </w:t>
            </w:r>
            <w:r w:rsidR="00D21D3F" w:rsidRPr="00707F75">
              <w:rPr>
                <w:sz w:val="20"/>
                <w:szCs w:val="20"/>
              </w:rPr>
              <w:t>Moż</w:t>
            </w:r>
            <w:r w:rsidR="00707F75">
              <w:rPr>
                <w:sz w:val="20"/>
                <w:szCs w:val="20"/>
              </w:rPr>
              <w:t xml:space="preserve">liwym pozostaje </w:t>
            </w:r>
            <w:r w:rsidR="00D21D3F" w:rsidRPr="00707F75">
              <w:rPr>
                <w:sz w:val="20"/>
                <w:szCs w:val="20"/>
              </w:rPr>
              <w:t xml:space="preserve">powierzenie „obsługi technicznej” działań prezesa sądu apelacyjnego podejmowanych w oparciu o projektowane rozporządzenie, oddziałowi administracyjnemu funkcjonującemu w sądzie apelacyjnym (§ 19 i 23 ust. 1 </w:t>
            </w:r>
            <w:r w:rsidR="00D21D3F" w:rsidRPr="00707F75">
              <w:rPr>
                <w:bCs/>
                <w:i/>
                <w:sz w:val="20"/>
                <w:szCs w:val="20"/>
              </w:rPr>
              <w:t>rozporządzenia Ministra Sprawiedliwości z dnia 18 czerwca 2019 r. - Regulamin urzędowania sądów powszechnych</w:t>
            </w:r>
            <w:r w:rsidR="00D21D3F" w:rsidRPr="00707F75">
              <w:rPr>
                <w:bCs/>
                <w:sz w:val="20"/>
                <w:szCs w:val="20"/>
              </w:rPr>
              <w:t xml:space="preserve"> (Dz.U poz. 1141)  </w:t>
            </w:r>
            <w:r w:rsidR="00D21D3F" w:rsidRPr="00707F75">
              <w:rPr>
                <w:sz w:val="20"/>
                <w:szCs w:val="20"/>
              </w:rPr>
              <w:t xml:space="preserve">oraz § 527 </w:t>
            </w:r>
            <w:r w:rsidR="005057D4" w:rsidRPr="00132F0D">
              <w:rPr>
                <w:bCs/>
                <w:i/>
                <w:sz w:val="20"/>
                <w:szCs w:val="20"/>
              </w:rPr>
              <w:t>zarządzenia Ministra Sprawiedliwości z dnia 19 czerwca 2019 r. w sprawie organizacji i zakresu działania sekretariatów sądowych oraz innych działów administracji sądowe</w:t>
            </w:r>
            <w:r w:rsidR="005057D4" w:rsidRPr="00707F75">
              <w:rPr>
                <w:bCs/>
                <w:sz w:val="20"/>
                <w:szCs w:val="20"/>
              </w:rPr>
              <w:t xml:space="preserve"> (Dziennik Urzędowy Ministra Sprawiedliwości z 2019 r., poz. 138</w:t>
            </w:r>
            <w:r w:rsidR="00D21D3F" w:rsidRPr="00707F75">
              <w:rPr>
                <w:sz w:val="20"/>
                <w:szCs w:val="20"/>
              </w:rPr>
              <w:t>), dla wspierania prezesa w wykonywaniu zadań powierzonych mu jako koordynatorowi delegowanemu (§ 24 ust. 1</w:t>
            </w:r>
            <w:r w:rsidR="00707F75" w:rsidRPr="00707F75">
              <w:rPr>
                <w:sz w:val="20"/>
                <w:szCs w:val="20"/>
              </w:rPr>
              <w:t xml:space="preserve"> w/w</w:t>
            </w:r>
            <w:r w:rsidR="00D21D3F" w:rsidRPr="00707F75">
              <w:rPr>
                <w:sz w:val="20"/>
                <w:szCs w:val="20"/>
              </w:rPr>
              <w:t xml:space="preserve"> Regulaminu). </w:t>
            </w:r>
          </w:p>
        </w:tc>
      </w:tr>
    </w:tbl>
    <w:p w:rsidR="00482C75" w:rsidRDefault="00482C75" w:rsidP="00965D6A">
      <w:pPr>
        <w:rPr>
          <w:sz w:val="20"/>
          <w:szCs w:val="20"/>
        </w:rPr>
      </w:pPr>
    </w:p>
    <w:p w:rsidR="007E33CC" w:rsidRDefault="007E33CC" w:rsidP="009D7618">
      <w:pPr>
        <w:rPr>
          <w:sz w:val="20"/>
          <w:szCs w:val="20"/>
        </w:rPr>
      </w:pPr>
    </w:p>
    <w:p w:rsidR="004243B0" w:rsidRDefault="004243B0" w:rsidP="009D7618">
      <w:pPr>
        <w:rPr>
          <w:sz w:val="20"/>
          <w:szCs w:val="20"/>
        </w:rPr>
      </w:pPr>
    </w:p>
    <w:p w:rsidR="004243B0" w:rsidRPr="007E33CC" w:rsidRDefault="004243B0" w:rsidP="009D7618">
      <w:pPr>
        <w:rPr>
          <w:sz w:val="20"/>
          <w:szCs w:val="20"/>
        </w:rPr>
      </w:pPr>
    </w:p>
    <w:sectPr w:rsidR="004243B0" w:rsidRPr="007E33CC" w:rsidSect="0014547A">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AA7" w:rsidRDefault="00CC2AA7" w:rsidP="00120759">
      <w:pPr>
        <w:spacing w:after="0" w:line="240" w:lineRule="auto"/>
      </w:pPr>
      <w:r>
        <w:separator/>
      </w:r>
    </w:p>
  </w:endnote>
  <w:endnote w:type="continuationSeparator" w:id="0">
    <w:p w:rsidR="00CC2AA7" w:rsidRDefault="00CC2AA7" w:rsidP="00120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758473"/>
      <w:docPartObj>
        <w:docPartGallery w:val="Page Numbers (Bottom of Page)"/>
        <w:docPartUnique/>
      </w:docPartObj>
    </w:sdtPr>
    <w:sdtEndPr/>
    <w:sdtContent>
      <w:p w:rsidR="008A0DCC" w:rsidRDefault="008A0DCC">
        <w:pPr>
          <w:pStyle w:val="Stopka"/>
        </w:pPr>
        <w:r>
          <w:fldChar w:fldCharType="begin"/>
        </w:r>
        <w:r>
          <w:instrText>PAGE   \* MERGEFORMAT</w:instrText>
        </w:r>
        <w:r>
          <w:fldChar w:fldCharType="separate"/>
        </w:r>
        <w:r w:rsidR="00CD4BFD">
          <w:rPr>
            <w:noProof/>
          </w:rPr>
          <w:t>1</w:t>
        </w:r>
        <w:r>
          <w:fldChar w:fldCharType="end"/>
        </w:r>
      </w:p>
    </w:sdtContent>
  </w:sdt>
  <w:p w:rsidR="008A0DCC" w:rsidRDefault="008A0D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AA7" w:rsidRDefault="00CC2AA7" w:rsidP="00120759">
      <w:pPr>
        <w:spacing w:after="0" w:line="240" w:lineRule="auto"/>
      </w:pPr>
      <w:r>
        <w:separator/>
      </w:r>
    </w:p>
  </w:footnote>
  <w:footnote w:type="continuationSeparator" w:id="0">
    <w:p w:rsidR="00CC2AA7" w:rsidRDefault="00CC2AA7" w:rsidP="001207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47C3B"/>
    <w:multiLevelType w:val="hybridMultilevel"/>
    <w:tmpl w:val="2250AD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CD7984"/>
    <w:multiLevelType w:val="hybridMultilevel"/>
    <w:tmpl w:val="28F248C8"/>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nsid w:val="3F141A15"/>
    <w:multiLevelType w:val="hybridMultilevel"/>
    <w:tmpl w:val="6714F8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13E7419"/>
    <w:multiLevelType w:val="hybridMultilevel"/>
    <w:tmpl w:val="57C2351E"/>
    <w:lvl w:ilvl="0" w:tplc="941427B0">
      <w:start w:val="1"/>
      <w:numFmt w:val="bullet"/>
      <w:lvlText w:val="­"/>
      <w:lvlJc w:val="left"/>
      <w:pPr>
        <w:ind w:left="720" w:hanging="360"/>
      </w:pPr>
      <w:rPr>
        <w:rFonts w:ascii="Segoe UI Emoji" w:hAnsi="Segoe UI Emoj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DC21EED"/>
    <w:multiLevelType w:val="hybridMultilevel"/>
    <w:tmpl w:val="F1526BC2"/>
    <w:lvl w:ilvl="0" w:tplc="72F245E0">
      <w:start w:val="2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685F5B56"/>
    <w:multiLevelType w:val="hybridMultilevel"/>
    <w:tmpl w:val="6136C1D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47A"/>
    <w:rsid w:val="000012A4"/>
    <w:rsid w:val="000237A6"/>
    <w:rsid w:val="000350C5"/>
    <w:rsid w:val="00043DF5"/>
    <w:rsid w:val="000454D6"/>
    <w:rsid w:val="000601EB"/>
    <w:rsid w:val="00074A02"/>
    <w:rsid w:val="000860FE"/>
    <w:rsid w:val="00087C2C"/>
    <w:rsid w:val="00093086"/>
    <w:rsid w:val="00093C82"/>
    <w:rsid w:val="000940E8"/>
    <w:rsid w:val="000B3B56"/>
    <w:rsid w:val="000B4D27"/>
    <w:rsid w:val="000B7ADD"/>
    <w:rsid w:val="000C46E7"/>
    <w:rsid w:val="000C783F"/>
    <w:rsid w:val="000E13A3"/>
    <w:rsid w:val="000E721E"/>
    <w:rsid w:val="000F6195"/>
    <w:rsid w:val="001106D8"/>
    <w:rsid w:val="00110E16"/>
    <w:rsid w:val="00111FD0"/>
    <w:rsid w:val="00115600"/>
    <w:rsid w:val="00120759"/>
    <w:rsid w:val="0012455A"/>
    <w:rsid w:val="00132F0D"/>
    <w:rsid w:val="0014245A"/>
    <w:rsid w:val="00142D19"/>
    <w:rsid w:val="0014547A"/>
    <w:rsid w:val="00146C25"/>
    <w:rsid w:val="00147566"/>
    <w:rsid w:val="00152482"/>
    <w:rsid w:val="00153F9D"/>
    <w:rsid w:val="00160405"/>
    <w:rsid w:val="00163F19"/>
    <w:rsid w:val="001742FF"/>
    <w:rsid w:val="0017780F"/>
    <w:rsid w:val="00180EB5"/>
    <w:rsid w:val="00195C27"/>
    <w:rsid w:val="00196BE0"/>
    <w:rsid w:val="001C1602"/>
    <w:rsid w:val="001C5627"/>
    <w:rsid w:val="001C5E3C"/>
    <w:rsid w:val="001D512C"/>
    <w:rsid w:val="001E00C7"/>
    <w:rsid w:val="001E5F3A"/>
    <w:rsid w:val="00205347"/>
    <w:rsid w:val="00214C51"/>
    <w:rsid w:val="00222EE8"/>
    <w:rsid w:val="0023003B"/>
    <w:rsid w:val="00231D8E"/>
    <w:rsid w:val="002362A7"/>
    <w:rsid w:val="0023657C"/>
    <w:rsid w:val="0023746D"/>
    <w:rsid w:val="00250A64"/>
    <w:rsid w:val="0025330E"/>
    <w:rsid w:val="002576F8"/>
    <w:rsid w:val="0026116C"/>
    <w:rsid w:val="0027202B"/>
    <w:rsid w:val="00272B73"/>
    <w:rsid w:val="00273551"/>
    <w:rsid w:val="00283474"/>
    <w:rsid w:val="002840F8"/>
    <w:rsid w:val="002A2B22"/>
    <w:rsid w:val="002A2BEE"/>
    <w:rsid w:val="002A4C6B"/>
    <w:rsid w:val="002B47A8"/>
    <w:rsid w:val="002C7F14"/>
    <w:rsid w:val="002D113A"/>
    <w:rsid w:val="002D1C28"/>
    <w:rsid w:val="002D45AE"/>
    <w:rsid w:val="002D498F"/>
    <w:rsid w:val="002D77C5"/>
    <w:rsid w:val="002F3013"/>
    <w:rsid w:val="002F649D"/>
    <w:rsid w:val="00307226"/>
    <w:rsid w:val="003217BF"/>
    <w:rsid w:val="00321E86"/>
    <w:rsid w:val="0032202B"/>
    <w:rsid w:val="003227DF"/>
    <w:rsid w:val="0032363B"/>
    <w:rsid w:val="00344BD5"/>
    <w:rsid w:val="003558F3"/>
    <w:rsid w:val="00361D5A"/>
    <w:rsid w:val="00383F13"/>
    <w:rsid w:val="00396F6D"/>
    <w:rsid w:val="003E1A18"/>
    <w:rsid w:val="00410BB4"/>
    <w:rsid w:val="0041138E"/>
    <w:rsid w:val="00423B45"/>
    <w:rsid w:val="004243B0"/>
    <w:rsid w:val="00437FB0"/>
    <w:rsid w:val="00447F6F"/>
    <w:rsid w:val="0045130D"/>
    <w:rsid w:val="00457C45"/>
    <w:rsid w:val="004606A4"/>
    <w:rsid w:val="00460C44"/>
    <w:rsid w:val="00461CF6"/>
    <w:rsid w:val="00462E33"/>
    <w:rsid w:val="00470215"/>
    <w:rsid w:val="0047775F"/>
    <w:rsid w:val="00481BC7"/>
    <w:rsid w:val="00482C75"/>
    <w:rsid w:val="00483279"/>
    <w:rsid w:val="00484D1D"/>
    <w:rsid w:val="00495D20"/>
    <w:rsid w:val="0049698F"/>
    <w:rsid w:val="004B0851"/>
    <w:rsid w:val="004B1305"/>
    <w:rsid w:val="004B5E84"/>
    <w:rsid w:val="004D0B15"/>
    <w:rsid w:val="004D274C"/>
    <w:rsid w:val="004D454F"/>
    <w:rsid w:val="004D6598"/>
    <w:rsid w:val="004D741B"/>
    <w:rsid w:val="004E2D01"/>
    <w:rsid w:val="004F4AF0"/>
    <w:rsid w:val="005057CB"/>
    <w:rsid w:val="005057D4"/>
    <w:rsid w:val="00517DB6"/>
    <w:rsid w:val="00520409"/>
    <w:rsid w:val="00532DB0"/>
    <w:rsid w:val="0053609C"/>
    <w:rsid w:val="00542B68"/>
    <w:rsid w:val="00553652"/>
    <w:rsid w:val="00555BEC"/>
    <w:rsid w:val="00555E16"/>
    <w:rsid w:val="00563BFD"/>
    <w:rsid w:val="005662E2"/>
    <w:rsid w:val="005779EC"/>
    <w:rsid w:val="0058067C"/>
    <w:rsid w:val="00584F71"/>
    <w:rsid w:val="00592F40"/>
    <w:rsid w:val="005B0C7F"/>
    <w:rsid w:val="005B3B35"/>
    <w:rsid w:val="005C086E"/>
    <w:rsid w:val="005D63F9"/>
    <w:rsid w:val="005F0D47"/>
    <w:rsid w:val="005F43B1"/>
    <w:rsid w:val="005F55C0"/>
    <w:rsid w:val="00612840"/>
    <w:rsid w:val="00613EFF"/>
    <w:rsid w:val="00621D16"/>
    <w:rsid w:val="00646FC5"/>
    <w:rsid w:val="006476AA"/>
    <w:rsid w:val="00654FD2"/>
    <w:rsid w:val="006601BC"/>
    <w:rsid w:val="00665FD7"/>
    <w:rsid w:val="00667155"/>
    <w:rsid w:val="00667EBC"/>
    <w:rsid w:val="00670078"/>
    <w:rsid w:val="006911C5"/>
    <w:rsid w:val="00697EFA"/>
    <w:rsid w:val="006A1CEE"/>
    <w:rsid w:val="006A58E0"/>
    <w:rsid w:val="006C3CDB"/>
    <w:rsid w:val="006C4261"/>
    <w:rsid w:val="006D0A72"/>
    <w:rsid w:val="006D12E0"/>
    <w:rsid w:val="006D5B97"/>
    <w:rsid w:val="006E1746"/>
    <w:rsid w:val="006F0D04"/>
    <w:rsid w:val="006F38E0"/>
    <w:rsid w:val="006F5873"/>
    <w:rsid w:val="00704978"/>
    <w:rsid w:val="00707BE0"/>
    <w:rsid w:val="00707F75"/>
    <w:rsid w:val="007218E4"/>
    <w:rsid w:val="007262D7"/>
    <w:rsid w:val="00732418"/>
    <w:rsid w:val="00733594"/>
    <w:rsid w:val="00746E7F"/>
    <w:rsid w:val="0076298A"/>
    <w:rsid w:val="00764783"/>
    <w:rsid w:val="007663E5"/>
    <w:rsid w:val="0076640E"/>
    <w:rsid w:val="00783A0C"/>
    <w:rsid w:val="0078594B"/>
    <w:rsid w:val="007A29D2"/>
    <w:rsid w:val="007B3F5F"/>
    <w:rsid w:val="007D3494"/>
    <w:rsid w:val="007D4C2F"/>
    <w:rsid w:val="007E33CC"/>
    <w:rsid w:val="007E77A3"/>
    <w:rsid w:val="007F6020"/>
    <w:rsid w:val="008012FD"/>
    <w:rsid w:val="00805532"/>
    <w:rsid w:val="00820B11"/>
    <w:rsid w:val="0082330E"/>
    <w:rsid w:val="008333AE"/>
    <w:rsid w:val="008418E5"/>
    <w:rsid w:val="00854ECF"/>
    <w:rsid w:val="00855161"/>
    <w:rsid w:val="0087367F"/>
    <w:rsid w:val="00877663"/>
    <w:rsid w:val="00890D39"/>
    <w:rsid w:val="00896D58"/>
    <w:rsid w:val="008A0DCC"/>
    <w:rsid w:val="008B320B"/>
    <w:rsid w:val="008C2A31"/>
    <w:rsid w:val="008C58B8"/>
    <w:rsid w:val="008D151C"/>
    <w:rsid w:val="008D2DF1"/>
    <w:rsid w:val="008D2E5B"/>
    <w:rsid w:val="008D2F23"/>
    <w:rsid w:val="008F157D"/>
    <w:rsid w:val="008F7992"/>
    <w:rsid w:val="00902524"/>
    <w:rsid w:val="00903016"/>
    <w:rsid w:val="00903095"/>
    <w:rsid w:val="00904A06"/>
    <w:rsid w:val="00912ADC"/>
    <w:rsid w:val="00913460"/>
    <w:rsid w:val="0092194C"/>
    <w:rsid w:val="009246A7"/>
    <w:rsid w:val="009267C0"/>
    <w:rsid w:val="00935F94"/>
    <w:rsid w:val="00942A08"/>
    <w:rsid w:val="00950BC5"/>
    <w:rsid w:val="00952DBE"/>
    <w:rsid w:val="00965388"/>
    <w:rsid w:val="00965D6A"/>
    <w:rsid w:val="00973F3A"/>
    <w:rsid w:val="0097496F"/>
    <w:rsid w:val="00975781"/>
    <w:rsid w:val="0098787E"/>
    <w:rsid w:val="009A15FB"/>
    <w:rsid w:val="009A6C0F"/>
    <w:rsid w:val="009A733D"/>
    <w:rsid w:val="009B04AD"/>
    <w:rsid w:val="009B2BC8"/>
    <w:rsid w:val="009B35A4"/>
    <w:rsid w:val="009D12C0"/>
    <w:rsid w:val="009D66C7"/>
    <w:rsid w:val="009D7618"/>
    <w:rsid w:val="009E522E"/>
    <w:rsid w:val="009F2BE3"/>
    <w:rsid w:val="009F50AA"/>
    <w:rsid w:val="00A004EB"/>
    <w:rsid w:val="00A02DF7"/>
    <w:rsid w:val="00A054AF"/>
    <w:rsid w:val="00A15C77"/>
    <w:rsid w:val="00A174C0"/>
    <w:rsid w:val="00A2424C"/>
    <w:rsid w:val="00A26520"/>
    <w:rsid w:val="00A27F3B"/>
    <w:rsid w:val="00A33D80"/>
    <w:rsid w:val="00A45E97"/>
    <w:rsid w:val="00A57A74"/>
    <w:rsid w:val="00A6109E"/>
    <w:rsid w:val="00A6134D"/>
    <w:rsid w:val="00A83EAA"/>
    <w:rsid w:val="00A90C0A"/>
    <w:rsid w:val="00A94677"/>
    <w:rsid w:val="00A9558E"/>
    <w:rsid w:val="00AA3F1B"/>
    <w:rsid w:val="00AB3DE8"/>
    <w:rsid w:val="00AD17EF"/>
    <w:rsid w:val="00AD77C6"/>
    <w:rsid w:val="00AF1982"/>
    <w:rsid w:val="00AF606C"/>
    <w:rsid w:val="00AF7651"/>
    <w:rsid w:val="00B415C8"/>
    <w:rsid w:val="00B46A41"/>
    <w:rsid w:val="00B51CC8"/>
    <w:rsid w:val="00B71C90"/>
    <w:rsid w:val="00B84ED2"/>
    <w:rsid w:val="00B92FE6"/>
    <w:rsid w:val="00B96A9E"/>
    <w:rsid w:val="00BA1602"/>
    <w:rsid w:val="00BA199E"/>
    <w:rsid w:val="00BA2658"/>
    <w:rsid w:val="00BC275A"/>
    <w:rsid w:val="00BD1657"/>
    <w:rsid w:val="00BD33B1"/>
    <w:rsid w:val="00BE19F3"/>
    <w:rsid w:val="00BE49AB"/>
    <w:rsid w:val="00BE7802"/>
    <w:rsid w:val="00BF017F"/>
    <w:rsid w:val="00BF4DAE"/>
    <w:rsid w:val="00BF5657"/>
    <w:rsid w:val="00C00E36"/>
    <w:rsid w:val="00C2324C"/>
    <w:rsid w:val="00C34EF4"/>
    <w:rsid w:val="00C45FCD"/>
    <w:rsid w:val="00C46755"/>
    <w:rsid w:val="00C544C6"/>
    <w:rsid w:val="00C56B1B"/>
    <w:rsid w:val="00C66F32"/>
    <w:rsid w:val="00C7303B"/>
    <w:rsid w:val="00C76AB2"/>
    <w:rsid w:val="00C83BB8"/>
    <w:rsid w:val="00C903EB"/>
    <w:rsid w:val="00C935B8"/>
    <w:rsid w:val="00CC2290"/>
    <w:rsid w:val="00CC2AA7"/>
    <w:rsid w:val="00CC4CAE"/>
    <w:rsid w:val="00CD1739"/>
    <w:rsid w:val="00CD4BFD"/>
    <w:rsid w:val="00CD56A9"/>
    <w:rsid w:val="00CE026C"/>
    <w:rsid w:val="00D02BA4"/>
    <w:rsid w:val="00D047A7"/>
    <w:rsid w:val="00D069B2"/>
    <w:rsid w:val="00D14616"/>
    <w:rsid w:val="00D21D3F"/>
    <w:rsid w:val="00D22CB4"/>
    <w:rsid w:val="00D22D2B"/>
    <w:rsid w:val="00D27DEA"/>
    <w:rsid w:val="00D4237B"/>
    <w:rsid w:val="00D52E96"/>
    <w:rsid w:val="00D622E4"/>
    <w:rsid w:val="00D701CD"/>
    <w:rsid w:val="00D85E98"/>
    <w:rsid w:val="00D90EC0"/>
    <w:rsid w:val="00D9302E"/>
    <w:rsid w:val="00D935CF"/>
    <w:rsid w:val="00D938D1"/>
    <w:rsid w:val="00D9449B"/>
    <w:rsid w:val="00DA1D0E"/>
    <w:rsid w:val="00DA6091"/>
    <w:rsid w:val="00DC6399"/>
    <w:rsid w:val="00DC65E6"/>
    <w:rsid w:val="00DD42DD"/>
    <w:rsid w:val="00DD4DFE"/>
    <w:rsid w:val="00DE45B9"/>
    <w:rsid w:val="00E02361"/>
    <w:rsid w:val="00E207C4"/>
    <w:rsid w:val="00E220BE"/>
    <w:rsid w:val="00E22A96"/>
    <w:rsid w:val="00E31B2F"/>
    <w:rsid w:val="00E32F74"/>
    <w:rsid w:val="00E3381C"/>
    <w:rsid w:val="00E37A13"/>
    <w:rsid w:val="00E41EE2"/>
    <w:rsid w:val="00E452F8"/>
    <w:rsid w:val="00E739C0"/>
    <w:rsid w:val="00EB389A"/>
    <w:rsid w:val="00EC402A"/>
    <w:rsid w:val="00EC546C"/>
    <w:rsid w:val="00ED6BE9"/>
    <w:rsid w:val="00EE63ED"/>
    <w:rsid w:val="00EE76A6"/>
    <w:rsid w:val="00F20ABC"/>
    <w:rsid w:val="00F60C38"/>
    <w:rsid w:val="00F67F44"/>
    <w:rsid w:val="00F92E5D"/>
    <w:rsid w:val="00FA0FBD"/>
    <w:rsid w:val="00FA4A4C"/>
    <w:rsid w:val="00FB0F4C"/>
    <w:rsid w:val="00FB5C41"/>
    <w:rsid w:val="00FC7D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4A02"/>
  </w:style>
  <w:style w:type="paragraph" w:styleId="Nagwek1">
    <w:name w:val="heading 1"/>
    <w:basedOn w:val="Normalny"/>
    <w:next w:val="Normalny"/>
    <w:link w:val="Nagwek1Znak"/>
    <w:uiPriority w:val="9"/>
    <w:qFormat/>
    <w:rsid w:val="006601B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D21D3F"/>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454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3A0C"/>
    <w:pPr>
      <w:ind w:left="720"/>
      <w:contextualSpacing/>
    </w:pPr>
  </w:style>
  <w:style w:type="paragraph" w:styleId="Nagwek">
    <w:name w:val="header"/>
    <w:basedOn w:val="Normalny"/>
    <w:link w:val="NagwekZnak"/>
    <w:uiPriority w:val="99"/>
    <w:unhideWhenUsed/>
    <w:rsid w:val="001207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0759"/>
  </w:style>
  <w:style w:type="paragraph" w:styleId="Stopka">
    <w:name w:val="footer"/>
    <w:basedOn w:val="Normalny"/>
    <w:link w:val="StopkaZnak"/>
    <w:uiPriority w:val="99"/>
    <w:unhideWhenUsed/>
    <w:rsid w:val="001207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0759"/>
  </w:style>
  <w:style w:type="character" w:customStyle="1" w:styleId="6mniswszablonpismawarszawaznak">
    <w:name w:val="6.mnisw_szablon_pisma_warszawa znak"/>
    <w:basedOn w:val="Domylnaczcionkaakapitu"/>
    <w:link w:val="6mniswszablonpismawarszawa"/>
    <w:locked/>
    <w:rsid w:val="003227DF"/>
    <w:rPr>
      <w:rFonts w:ascii="Arial" w:hAnsi="Arial" w:cs="Arial"/>
      <w:color w:val="7F7F7F"/>
    </w:rPr>
  </w:style>
  <w:style w:type="paragraph" w:customStyle="1" w:styleId="6mniswszablonpismawarszawa">
    <w:name w:val="6.mnisw_szablon_pisma_warszawa"/>
    <w:basedOn w:val="Normalny"/>
    <w:link w:val="6mniswszablonpismawarszawaznak"/>
    <w:rsid w:val="003227DF"/>
    <w:pPr>
      <w:spacing w:before="12" w:after="12" w:line="276" w:lineRule="auto"/>
    </w:pPr>
    <w:rPr>
      <w:rFonts w:ascii="Arial" w:hAnsi="Arial" w:cs="Arial"/>
      <w:color w:val="7F7F7F"/>
    </w:rPr>
  </w:style>
  <w:style w:type="character" w:customStyle="1" w:styleId="styl11">
    <w:name w:val="styl11"/>
    <w:basedOn w:val="Domylnaczcionkaakapitu"/>
    <w:uiPriority w:val="1"/>
    <w:rsid w:val="003227DF"/>
  </w:style>
  <w:style w:type="paragraph" w:styleId="Tekstdymka">
    <w:name w:val="Balloon Text"/>
    <w:basedOn w:val="Normalny"/>
    <w:link w:val="TekstdymkaZnak"/>
    <w:uiPriority w:val="99"/>
    <w:semiHidden/>
    <w:unhideWhenUsed/>
    <w:rsid w:val="00A83E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3EAA"/>
    <w:rPr>
      <w:rFonts w:ascii="Segoe UI" w:hAnsi="Segoe UI" w:cs="Segoe UI"/>
      <w:sz w:val="18"/>
      <w:szCs w:val="18"/>
    </w:rPr>
  </w:style>
  <w:style w:type="paragraph" w:customStyle="1" w:styleId="PKTpunkt">
    <w:name w:val="PKT – punkt"/>
    <w:uiPriority w:val="13"/>
    <w:qFormat/>
    <w:rsid w:val="007A29D2"/>
    <w:pPr>
      <w:spacing w:after="0"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952DB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952DBE"/>
    <w:pPr>
      <w:spacing w:before="0"/>
    </w:pPr>
    <w:rPr>
      <w:bCs/>
    </w:rPr>
  </w:style>
  <w:style w:type="character" w:customStyle="1" w:styleId="Ppogrubienie">
    <w:name w:val="_P_ – pogrubienie"/>
    <w:basedOn w:val="Domylnaczcionkaakapitu"/>
    <w:uiPriority w:val="1"/>
    <w:qFormat/>
    <w:rsid w:val="00952DBE"/>
    <w:rPr>
      <w:b/>
    </w:rPr>
  </w:style>
  <w:style w:type="character" w:styleId="Hipercze">
    <w:name w:val="Hyperlink"/>
    <w:basedOn w:val="Domylnaczcionkaakapitu"/>
    <w:uiPriority w:val="99"/>
    <w:unhideWhenUsed/>
    <w:rsid w:val="00854ECF"/>
    <w:rPr>
      <w:color w:val="0563C1" w:themeColor="hyperlink"/>
      <w:u w:val="single"/>
    </w:rPr>
  </w:style>
  <w:style w:type="character" w:customStyle="1" w:styleId="Nagwek1Znak">
    <w:name w:val="Nagłówek 1 Znak"/>
    <w:basedOn w:val="Domylnaczcionkaakapitu"/>
    <w:link w:val="Nagwek1"/>
    <w:uiPriority w:val="9"/>
    <w:rsid w:val="006601BC"/>
    <w:rPr>
      <w:rFonts w:asciiTheme="majorHAnsi" w:eastAsiaTheme="majorEastAsia" w:hAnsiTheme="majorHAnsi" w:cstheme="majorBidi"/>
      <w:b/>
      <w:bCs/>
      <w:color w:val="2E74B5" w:themeColor="accent1" w:themeShade="BF"/>
      <w:sz w:val="28"/>
      <w:szCs w:val="28"/>
    </w:rPr>
  </w:style>
  <w:style w:type="paragraph" w:styleId="Tekstprzypisukocowego">
    <w:name w:val="endnote text"/>
    <w:basedOn w:val="Normalny"/>
    <w:link w:val="TekstprzypisukocowegoZnak"/>
    <w:uiPriority w:val="99"/>
    <w:semiHidden/>
    <w:unhideWhenUsed/>
    <w:rsid w:val="00153F9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3F9D"/>
    <w:rPr>
      <w:sz w:val="20"/>
      <w:szCs w:val="20"/>
    </w:rPr>
  </w:style>
  <w:style w:type="character" w:styleId="Odwoanieprzypisukocowego">
    <w:name w:val="endnote reference"/>
    <w:basedOn w:val="Domylnaczcionkaakapitu"/>
    <w:uiPriority w:val="99"/>
    <w:semiHidden/>
    <w:unhideWhenUsed/>
    <w:rsid w:val="00153F9D"/>
    <w:rPr>
      <w:vertAlign w:val="superscript"/>
    </w:rPr>
  </w:style>
  <w:style w:type="character" w:customStyle="1" w:styleId="Nagwek2Znak">
    <w:name w:val="Nagłówek 2 Znak"/>
    <w:basedOn w:val="Domylnaczcionkaakapitu"/>
    <w:link w:val="Nagwek2"/>
    <w:uiPriority w:val="9"/>
    <w:rsid w:val="00D21D3F"/>
    <w:rPr>
      <w:rFonts w:asciiTheme="majorHAnsi" w:eastAsiaTheme="majorEastAsia" w:hAnsiTheme="majorHAnsi" w:cstheme="majorBidi"/>
      <w:b/>
      <w:bCs/>
      <w:color w:val="5B9BD5" w:themeColor="accent1"/>
      <w:sz w:val="26"/>
      <w:szCs w:val="26"/>
    </w:rPr>
  </w:style>
  <w:style w:type="paragraph" w:styleId="Lista">
    <w:name w:val="List"/>
    <w:basedOn w:val="Normalny"/>
    <w:uiPriority w:val="99"/>
    <w:unhideWhenUsed/>
    <w:rsid w:val="00D9302E"/>
    <w:pPr>
      <w:ind w:left="283" w:hanging="283"/>
      <w:contextualSpacing/>
    </w:pPr>
  </w:style>
  <w:style w:type="paragraph" w:styleId="Tekstpodstawowy">
    <w:name w:val="Body Text"/>
    <w:basedOn w:val="Normalny"/>
    <w:link w:val="TekstpodstawowyZnak"/>
    <w:uiPriority w:val="99"/>
    <w:unhideWhenUsed/>
    <w:rsid w:val="00D9302E"/>
    <w:pPr>
      <w:spacing w:after="120"/>
    </w:pPr>
  </w:style>
  <w:style w:type="character" w:customStyle="1" w:styleId="TekstpodstawowyZnak">
    <w:name w:val="Tekst podstawowy Znak"/>
    <w:basedOn w:val="Domylnaczcionkaakapitu"/>
    <w:link w:val="Tekstpodstawowy"/>
    <w:uiPriority w:val="99"/>
    <w:rsid w:val="00D9302E"/>
  </w:style>
  <w:style w:type="paragraph" w:styleId="Bezodstpw">
    <w:name w:val="No Spacing"/>
    <w:uiPriority w:val="1"/>
    <w:qFormat/>
    <w:rsid w:val="00DD42D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4A02"/>
  </w:style>
  <w:style w:type="paragraph" w:styleId="Nagwek1">
    <w:name w:val="heading 1"/>
    <w:basedOn w:val="Normalny"/>
    <w:next w:val="Normalny"/>
    <w:link w:val="Nagwek1Znak"/>
    <w:uiPriority w:val="9"/>
    <w:qFormat/>
    <w:rsid w:val="006601B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D21D3F"/>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454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3A0C"/>
    <w:pPr>
      <w:ind w:left="720"/>
      <w:contextualSpacing/>
    </w:pPr>
  </w:style>
  <w:style w:type="paragraph" w:styleId="Nagwek">
    <w:name w:val="header"/>
    <w:basedOn w:val="Normalny"/>
    <w:link w:val="NagwekZnak"/>
    <w:uiPriority w:val="99"/>
    <w:unhideWhenUsed/>
    <w:rsid w:val="001207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0759"/>
  </w:style>
  <w:style w:type="paragraph" w:styleId="Stopka">
    <w:name w:val="footer"/>
    <w:basedOn w:val="Normalny"/>
    <w:link w:val="StopkaZnak"/>
    <w:uiPriority w:val="99"/>
    <w:unhideWhenUsed/>
    <w:rsid w:val="001207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0759"/>
  </w:style>
  <w:style w:type="character" w:customStyle="1" w:styleId="6mniswszablonpismawarszawaznak">
    <w:name w:val="6.mnisw_szablon_pisma_warszawa znak"/>
    <w:basedOn w:val="Domylnaczcionkaakapitu"/>
    <w:link w:val="6mniswszablonpismawarszawa"/>
    <w:locked/>
    <w:rsid w:val="003227DF"/>
    <w:rPr>
      <w:rFonts w:ascii="Arial" w:hAnsi="Arial" w:cs="Arial"/>
      <w:color w:val="7F7F7F"/>
    </w:rPr>
  </w:style>
  <w:style w:type="paragraph" w:customStyle="1" w:styleId="6mniswszablonpismawarszawa">
    <w:name w:val="6.mnisw_szablon_pisma_warszawa"/>
    <w:basedOn w:val="Normalny"/>
    <w:link w:val="6mniswszablonpismawarszawaznak"/>
    <w:rsid w:val="003227DF"/>
    <w:pPr>
      <w:spacing w:before="12" w:after="12" w:line="276" w:lineRule="auto"/>
    </w:pPr>
    <w:rPr>
      <w:rFonts w:ascii="Arial" w:hAnsi="Arial" w:cs="Arial"/>
      <w:color w:val="7F7F7F"/>
    </w:rPr>
  </w:style>
  <w:style w:type="character" w:customStyle="1" w:styleId="styl11">
    <w:name w:val="styl11"/>
    <w:basedOn w:val="Domylnaczcionkaakapitu"/>
    <w:uiPriority w:val="1"/>
    <w:rsid w:val="003227DF"/>
  </w:style>
  <w:style w:type="paragraph" w:styleId="Tekstdymka">
    <w:name w:val="Balloon Text"/>
    <w:basedOn w:val="Normalny"/>
    <w:link w:val="TekstdymkaZnak"/>
    <w:uiPriority w:val="99"/>
    <w:semiHidden/>
    <w:unhideWhenUsed/>
    <w:rsid w:val="00A83E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3EAA"/>
    <w:rPr>
      <w:rFonts w:ascii="Segoe UI" w:hAnsi="Segoe UI" w:cs="Segoe UI"/>
      <w:sz w:val="18"/>
      <w:szCs w:val="18"/>
    </w:rPr>
  </w:style>
  <w:style w:type="paragraph" w:customStyle="1" w:styleId="PKTpunkt">
    <w:name w:val="PKT – punkt"/>
    <w:uiPriority w:val="13"/>
    <w:qFormat/>
    <w:rsid w:val="007A29D2"/>
    <w:pPr>
      <w:spacing w:after="0"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952DB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952DBE"/>
    <w:pPr>
      <w:spacing w:before="0"/>
    </w:pPr>
    <w:rPr>
      <w:bCs/>
    </w:rPr>
  </w:style>
  <w:style w:type="character" w:customStyle="1" w:styleId="Ppogrubienie">
    <w:name w:val="_P_ – pogrubienie"/>
    <w:basedOn w:val="Domylnaczcionkaakapitu"/>
    <w:uiPriority w:val="1"/>
    <w:qFormat/>
    <w:rsid w:val="00952DBE"/>
    <w:rPr>
      <w:b/>
    </w:rPr>
  </w:style>
  <w:style w:type="character" w:styleId="Hipercze">
    <w:name w:val="Hyperlink"/>
    <w:basedOn w:val="Domylnaczcionkaakapitu"/>
    <w:uiPriority w:val="99"/>
    <w:unhideWhenUsed/>
    <w:rsid w:val="00854ECF"/>
    <w:rPr>
      <w:color w:val="0563C1" w:themeColor="hyperlink"/>
      <w:u w:val="single"/>
    </w:rPr>
  </w:style>
  <w:style w:type="character" w:customStyle="1" w:styleId="Nagwek1Znak">
    <w:name w:val="Nagłówek 1 Znak"/>
    <w:basedOn w:val="Domylnaczcionkaakapitu"/>
    <w:link w:val="Nagwek1"/>
    <w:uiPriority w:val="9"/>
    <w:rsid w:val="006601BC"/>
    <w:rPr>
      <w:rFonts w:asciiTheme="majorHAnsi" w:eastAsiaTheme="majorEastAsia" w:hAnsiTheme="majorHAnsi" w:cstheme="majorBidi"/>
      <w:b/>
      <w:bCs/>
      <w:color w:val="2E74B5" w:themeColor="accent1" w:themeShade="BF"/>
      <w:sz w:val="28"/>
      <w:szCs w:val="28"/>
    </w:rPr>
  </w:style>
  <w:style w:type="paragraph" w:styleId="Tekstprzypisukocowego">
    <w:name w:val="endnote text"/>
    <w:basedOn w:val="Normalny"/>
    <w:link w:val="TekstprzypisukocowegoZnak"/>
    <w:uiPriority w:val="99"/>
    <w:semiHidden/>
    <w:unhideWhenUsed/>
    <w:rsid w:val="00153F9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3F9D"/>
    <w:rPr>
      <w:sz w:val="20"/>
      <w:szCs w:val="20"/>
    </w:rPr>
  </w:style>
  <w:style w:type="character" w:styleId="Odwoanieprzypisukocowego">
    <w:name w:val="endnote reference"/>
    <w:basedOn w:val="Domylnaczcionkaakapitu"/>
    <w:uiPriority w:val="99"/>
    <w:semiHidden/>
    <w:unhideWhenUsed/>
    <w:rsid w:val="00153F9D"/>
    <w:rPr>
      <w:vertAlign w:val="superscript"/>
    </w:rPr>
  </w:style>
  <w:style w:type="character" w:customStyle="1" w:styleId="Nagwek2Znak">
    <w:name w:val="Nagłówek 2 Znak"/>
    <w:basedOn w:val="Domylnaczcionkaakapitu"/>
    <w:link w:val="Nagwek2"/>
    <w:uiPriority w:val="9"/>
    <w:rsid w:val="00D21D3F"/>
    <w:rPr>
      <w:rFonts w:asciiTheme="majorHAnsi" w:eastAsiaTheme="majorEastAsia" w:hAnsiTheme="majorHAnsi" w:cstheme="majorBidi"/>
      <w:b/>
      <w:bCs/>
      <w:color w:val="5B9BD5" w:themeColor="accent1"/>
      <w:sz w:val="26"/>
      <w:szCs w:val="26"/>
    </w:rPr>
  </w:style>
  <w:style w:type="paragraph" w:styleId="Lista">
    <w:name w:val="List"/>
    <w:basedOn w:val="Normalny"/>
    <w:uiPriority w:val="99"/>
    <w:unhideWhenUsed/>
    <w:rsid w:val="00D9302E"/>
    <w:pPr>
      <w:ind w:left="283" w:hanging="283"/>
      <w:contextualSpacing/>
    </w:pPr>
  </w:style>
  <w:style w:type="paragraph" w:styleId="Tekstpodstawowy">
    <w:name w:val="Body Text"/>
    <w:basedOn w:val="Normalny"/>
    <w:link w:val="TekstpodstawowyZnak"/>
    <w:uiPriority w:val="99"/>
    <w:unhideWhenUsed/>
    <w:rsid w:val="00D9302E"/>
    <w:pPr>
      <w:spacing w:after="120"/>
    </w:pPr>
  </w:style>
  <w:style w:type="character" w:customStyle="1" w:styleId="TekstpodstawowyZnak">
    <w:name w:val="Tekst podstawowy Znak"/>
    <w:basedOn w:val="Domylnaczcionkaakapitu"/>
    <w:link w:val="Tekstpodstawowy"/>
    <w:uiPriority w:val="99"/>
    <w:rsid w:val="00D9302E"/>
  </w:style>
  <w:style w:type="paragraph" w:styleId="Bezodstpw">
    <w:name w:val="No Spacing"/>
    <w:uiPriority w:val="1"/>
    <w:qFormat/>
    <w:rsid w:val="00DD42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778">
      <w:bodyDiv w:val="1"/>
      <w:marLeft w:val="0"/>
      <w:marRight w:val="0"/>
      <w:marTop w:val="0"/>
      <w:marBottom w:val="0"/>
      <w:divBdr>
        <w:top w:val="none" w:sz="0" w:space="0" w:color="auto"/>
        <w:left w:val="none" w:sz="0" w:space="0" w:color="auto"/>
        <w:bottom w:val="none" w:sz="0" w:space="0" w:color="auto"/>
        <w:right w:val="none" w:sz="0" w:space="0" w:color="auto"/>
      </w:divBdr>
    </w:div>
    <w:div w:id="120657219">
      <w:bodyDiv w:val="1"/>
      <w:marLeft w:val="0"/>
      <w:marRight w:val="0"/>
      <w:marTop w:val="0"/>
      <w:marBottom w:val="0"/>
      <w:divBdr>
        <w:top w:val="none" w:sz="0" w:space="0" w:color="auto"/>
        <w:left w:val="none" w:sz="0" w:space="0" w:color="auto"/>
        <w:bottom w:val="none" w:sz="0" w:space="0" w:color="auto"/>
        <w:right w:val="none" w:sz="0" w:space="0" w:color="auto"/>
      </w:divBdr>
      <w:divsChild>
        <w:div w:id="311712064">
          <w:marLeft w:val="0"/>
          <w:marRight w:val="0"/>
          <w:marTop w:val="0"/>
          <w:marBottom w:val="0"/>
          <w:divBdr>
            <w:top w:val="none" w:sz="0" w:space="0" w:color="auto"/>
            <w:left w:val="none" w:sz="0" w:space="0" w:color="auto"/>
            <w:bottom w:val="none" w:sz="0" w:space="0" w:color="auto"/>
            <w:right w:val="none" w:sz="0" w:space="0" w:color="auto"/>
          </w:divBdr>
        </w:div>
        <w:div w:id="384328926">
          <w:marLeft w:val="0"/>
          <w:marRight w:val="0"/>
          <w:marTop w:val="0"/>
          <w:marBottom w:val="0"/>
          <w:divBdr>
            <w:top w:val="none" w:sz="0" w:space="0" w:color="auto"/>
            <w:left w:val="none" w:sz="0" w:space="0" w:color="auto"/>
            <w:bottom w:val="none" w:sz="0" w:space="0" w:color="auto"/>
            <w:right w:val="none" w:sz="0" w:space="0" w:color="auto"/>
          </w:divBdr>
        </w:div>
        <w:div w:id="1203447316">
          <w:marLeft w:val="0"/>
          <w:marRight w:val="0"/>
          <w:marTop w:val="150"/>
          <w:marBottom w:val="168"/>
          <w:divBdr>
            <w:top w:val="none" w:sz="0" w:space="0" w:color="auto"/>
            <w:left w:val="none" w:sz="0" w:space="0" w:color="auto"/>
            <w:bottom w:val="none" w:sz="0" w:space="0" w:color="auto"/>
            <w:right w:val="none" w:sz="0" w:space="0" w:color="auto"/>
          </w:divBdr>
        </w:div>
        <w:div w:id="1219705703">
          <w:marLeft w:val="0"/>
          <w:marRight w:val="0"/>
          <w:marTop w:val="0"/>
          <w:marBottom w:val="0"/>
          <w:divBdr>
            <w:top w:val="none" w:sz="0" w:space="0" w:color="auto"/>
            <w:left w:val="none" w:sz="0" w:space="0" w:color="auto"/>
            <w:bottom w:val="none" w:sz="0" w:space="0" w:color="auto"/>
            <w:right w:val="none" w:sz="0" w:space="0" w:color="auto"/>
          </w:divBdr>
        </w:div>
        <w:div w:id="1475484277">
          <w:marLeft w:val="0"/>
          <w:marRight w:val="0"/>
          <w:marTop w:val="0"/>
          <w:marBottom w:val="0"/>
          <w:divBdr>
            <w:top w:val="none" w:sz="0" w:space="0" w:color="auto"/>
            <w:left w:val="none" w:sz="0" w:space="0" w:color="auto"/>
            <w:bottom w:val="none" w:sz="0" w:space="0" w:color="auto"/>
            <w:right w:val="none" w:sz="0" w:space="0" w:color="auto"/>
          </w:divBdr>
        </w:div>
      </w:divsChild>
    </w:div>
    <w:div w:id="123356193">
      <w:bodyDiv w:val="1"/>
      <w:marLeft w:val="0"/>
      <w:marRight w:val="0"/>
      <w:marTop w:val="0"/>
      <w:marBottom w:val="0"/>
      <w:divBdr>
        <w:top w:val="none" w:sz="0" w:space="0" w:color="auto"/>
        <w:left w:val="none" w:sz="0" w:space="0" w:color="auto"/>
        <w:bottom w:val="none" w:sz="0" w:space="0" w:color="auto"/>
        <w:right w:val="none" w:sz="0" w:space="0" w:color="auto"/>
      </w:divBdr>
    </w:div>
    <w:div w:id="356783035">
      <w:bodyDiv w:val="1"/>
      <w:marLeft w:val="0"/>
      <w:marRight w:val="0"/>
      <w:marTop w:val="0"/>
      <w:marBottom w:val="0"/>
      <w:divBdr>
        <w:top w:val="none" w:sz="0" w:space="0" w:color="auto"/>
        <w:left w:val="none" w:sz="0" w:space="0" w:color="auto"/>
        <w:bottom w:val="none" w:sz="0" w:space="0" w:color="auto"/>
        <w:right w:val="none" w:sz="0" w:space="0" w:color="auto"/>
      </w:divBdr>
      <w:divsChild>
        <w:div w:id="461968603">
          <w:marLeft w:val="0"/>
          <w:marRight w:val="0"/>
          <w:marTop w:val="150"/>
          <w:marBottom w:val="168"/>
          <w:divBdr>
            <w:top w:val="none" w:sz="0" w:space="0" w:color="auto"/>
            <w:left w:val="none" w:sz="0" w:space="0" w:color="auto"/>
            <w:bottom w:val="none" w:sz="0" w:space="0" w:color="auto"/>
            <w:right w:val="none" w:sz="0" w:space="0" w:color="auto"/>
          </w:divBdr>
        </w:div>
      </w:divsChild>
    </w:div>
    <w:div w:id="413891972">
      <w:bodyDiv w:val="1"/>
      <w:marLeft w:val="0"/>
      <w:marRight w:val="0"/>
      <w:marTop w:val="0"/>
      <w:marBottom w:val="0"/>
      <w:divBdr>
        <w:top w:val="none" w:sz="0" w:space="0" w:color="auto"/>
        <w:left w:val="none" w:sz="0" w:space="0" w:color="auto"/>
        <w:bottom w:val="none" w:sz="0" w:space="0" w:color="auto"/>
        <w:right w:val="none" w:sz="0" w:space="0" w:color="auto"/>
      </w:divBdr>
    </w:div>
    <w:div w:id="436146509">
      <w:bodyDiv w:val="1"/>
      <w:marLeft w:val="0"/>
      <w:marRight w:val="0"/>
      <w:marTop w:val="0"/>
      <w:marBottom w:val="0"/>
      <w:divBdr>
        <w:top w:val="none" w:sz="0" w:space="0" w:color="auto"/>
        <w:left w:val="none" w:sz="0" w:space="0" w:color="auto"/>
        <w:bottom w:val="none" w:sz="0" w:space="0" w:color="auto"/>
        <w:right w:val="none" w:sz="0" w:space="0" w:color="auto"/>
      </w:divBdr>
    </w:div>
    <w:div w:id="483621072">
      <w:bodyDiv w:val="1"/>
      <w:marLeft w:val="0"/>
      <w:marRight w:val="0"/>
      <w:marTop w:val="0"/>
      <w:marBottom w:val="0"/>
      <w:divBdr>
        <w:top w:val="none" w:sz="0" w:space="0" w:color="auto"/>
        <w:left w:val="none" w:sz="0" w:space="0" w:color="auto"/>
        <w:bottom w:val="none" w:sz="0" w:space="0" w:color="auto"/>
        <w:right w:val="none" w:sz="0" w:space="0" w:color="auto"/>
      </w:divBdr>
      <w:divsChild>
        <w:div w:id="1676375083">
          <w:marLeft w:val="0"/>
          <w:marRight w:val="0"/>
          <w:marTop w:val="240"/>
          <w:marBottom w:val="0"/>
          <w:divBdr>
            <w:top w:val="none" w:sz="0" w:space="0" w:color="auto"/>
            <w:left w:val="none" w:sz="0" w:space="0" w:color="auto"/>
            <w:bottom w:val="none" w:sz="0" w:space="0" w:color="auto"/>
            <w:right w:val="none" w:sz="0" w:space="0" w:color="auto"/>
          </w:divBdr>
        </w:div>
        <w:div w:id="1360618100">
          <w:marLeft w:val="0"/>
          <w:marRight w:val="0"/>
          <w:marTop w:val="240"/>
          <w:marBottom w:val="0"/>
          <w:divBdr>
            <w:top w:val="none" w:sz="0" w:space="0" w:color="auto"/>
            <w:left w:val="none" w:sz="0" w:space="0" w:color="auto"/>
            <w:bottom w:val="none" w:sz="0" w:space="0" w:color="auto"/>
            <w:right w:val="none" w:sz="0" w:space="0" w:color="auto"/>
          </w:divBdr>
        </w:div>
      </w:divsChild>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985014583">
      <w:bodyDiv w:val="1"/>
      <w:marLeft w:val="0"/>
      <w:marRight w:val="0"/>
      <w:marTop w:val="0"/>
      <w:marBottom w:val="0"/>
      <w:divBdr>
        <w:top w:val="none" w:sz="0" w:space="0" w:color="auto"/>
        <w:left w:val="none" w:sz="0" w:space="0" w:color="auto"/>
        <w:bottom w:val="none" w:sz="0" w:space="0" w:color="auto"/>
        <w:right w:val="none" w:sz="0" w:space="0" w:color="auto"/>
      </w:divBdr>
    </w:div>
    <w:div w:id="1784030837">
      <w:bodyDiv w:val="1"/>
      <w:marLeft w:val="0"/>
      <w:marRight w:val="0"/>
      <w:marTop w:val="0"/>
      <w:marBottom w:val="0"/>
      <w:divBdr>
        <w:top w:val="none" w:sz="0" w:space="0" w:color="auto"/>
        <w:left w:val="none" w:sz="0" w:space="0" w:color="auto"/>
        <w:bottom w:val="none" w:sz="0" w:space="0" w:color="auto"/>
        <w:right w:val="none" w:sz="0" w:space="0" w:color="auto"/>
      </w:divBdr>
      <w:divsChild>
        <w:div w:id="1709524466">
          <w:marLeft w:val="0"/>
          <w:marRight w:val="0"/>
          <w:marTop w:val="150"/>
          <w:marBottom w:val="168"/>
          <w:divBdr>
            <w:top w:val="none" w:sz="0" w:space="0" w:color="auto"/>
            <w:left w:val="none" w:sz="0" w:space="0" w:color="auto"/>
            <w:bottom w:val="none" w:sz="0" w:space="0" w:color="auto"/>
            <w:right w:val="none" w:sz="0" w:space="0" w:color="auto"/>
          </w:divBdr>
        </w:div>
      </w:divsChild>
    </w:div>
    <w:div w:id="1876503096">
      <w:bodyDiv w:val="1"/>
      <w:marLeft w:val="0"/>
      <w:marRight w:val="0"/>
      <w:marTop w:val="0"/>
      <w:marBottom w:val="0"/>
      <w:divBdr>
        <w:top w:val="none" w:sz="0" w:space="0" w:color="auto"/>
        <w:left w:val="none" w:sz="0" w:space="0" w:color="auto"/>
        <w:bottom w:val="none" w:sz="0" w:space="0" w:color="auto"/>
        <w:right w:val="none" w:sz="0" w:space="0" w:color="auto"/>
      </w:divBdr>
    </w:div>
    <w:div w:id="1990285789">
      <w:bodyDiv w:val="1"/>
      <w:marLeft w:val="0"/>
      <w:marRight w:val="0"/>
      <w:marTop w:val="0"/>
      <w:marBottom w:val="0"/>
      <w:divBdr>
        <w:top w:val="none" w:sz="0" w:space="0" w:color="auto"/>
        <w:left w:val="none" w:sz="0" w:space="0" w:color="auto"/>
        <w:bottom w:val="none" w:sz="0" w:space="0" w:color="auto"/>
        <w:right w:val="none" w:sz="0" w:space="0" w:color="auto"/>
      </w:divBdr>
    </w:div>
    <w:div w:id="1996258077">
      <w:bodyDiv w:val="1"/>
      <w:marLeft w:val="0"/>
      <w:marRight w:val="0"/>
      <w:marTop w:val="0"/>
      <w:marBottom w:val="0"/>
      <w:divBdr>
        <w:top w:val="none" w:sz="0" w:space="0" w:color="auto"/>
        <w:left w:val="none" w:sz="0" w:space="0" w:color="auto"/>
        <w:bottom w:val="none" w:sz="0" w:space="0" w:color="auto"/>
        <w:right w:val="none" w:sz="0" w:space="0" w:color="auto"/>
      </w:divBdr>
      <w:divsChild>
        <w:div w:id="1117679029">
          <w:marLeft w:val="0"/>
          <w:marRight w:val="0"/>
          <w:marTop w:val="0"/>
          <w:marBottom w:val="0"/>
          <w:divBdr>
            <w:top w:val="none" w:sz="0" w:space="0" w:color="auto"/>
            <w:left w:val="none" w:sz="0" w:space="0" w:color="auto"/>
            <w:bottom w:val="none" w:sz="0" w:space="0" w:color="auto"/>
            <w:right w:val="none" w:sz="0" w:space="0" w:color="auto"/>
          </w:divBdr>
          <w:divsChild>
            <w:div w:id="1768577499">
              <w:marLeft w:val="0"/>
              <w:marRight w:val="0"/>
              <w:marTop w:val="150"/>
              <w:marBottom w:val="168"/>
              <w:divBdr>
                <w:top w:val="none" w:sz="0" w:space="0" w:color="auto"/>
                <w:left w:val="none" w:sz="0" w:space="0" w:color="auto"/>
                <w:bottom w:val="none" w:sz="0" w:space="0" w:color="auto"/>
                <w:right w:val="none" w:sz="0" w:space="0" w:color="auto"/>
              </w:divBdr>
            </w:div>
          </w:divsChild>
        </w:div>
        <w:div w:id="1171677184">
          <w:marLeft w:val="0"/>
          <w:marRight w:val="0"/>
          <w:marTop w:val="0"/>
          <w:marBottom w:val="0"/>
          <w:divBdr>
            <w:top w:val="none" w:sz="0" w:space="0" w:color="auto"/>
            <w:left w:val="none" w:sz="0" w:space="0" w:color="auto"/>
            <w:bottom w:val="none" w:sz="0" w:space="0" w:color="auto"/>
            <w:right w:val="none" w:sz="0" w:space="0" w:color="auto"/>
          </w:divBdr>
          <w:divsChild>
            <w:div w:id="1878852850">
              <w:marLeft w:val="0"/>
              <w:marRight w:val="0"/>
              <w:marTop w:val="150"/>
              <w:marBottom w:val="168"/>
              <w:divBdr>
                <w:top w:val="none" w:sz="0" w:space="0" w:color="auto"/>
                <w:left w:val="none" w:sz="0" w:space="0" w:color="auto"/>
                <w:bottom w:val="none" w:sz="0" w:space="0" w:color="auto"/>
                <w:right w:val="none" w:sz="0" w:space="0" w:color="auto"/>
              </w:divBdr>
            </w:div>
          </w:divsChild>
        </w:div>
      </w:divsChild>
    </w:div>
    <w:div w:id="200763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c.europa.eu/%20internal_market/imi-net/using_imi/index_pl.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6489F-B3E0-4666-919D-F5AE5F53C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4769</Words>
  <Characters>28615</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Mielcuch Anna</dc:creator>
  <cp:lastModifiedBy>Ciesielski Jarosław  (DLPC)</cp:lastModifiedBy>
  <cp:revision>6</cp:revision>
  <cp:lastPrinted>2018-10-30T08:59:00Z</cp:lastPrinted>
  <dcterms:created xsi:type="dcterms:W3CDTF">2019-11-27T10:25:00Z</dcterms:created>
  <dcterms:modified xsi:type="dcterms:W3CDTF">2019-11-27T13:40:00Z</dcterms:modified>
</cp:coreProperties>
</file>